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E68F" w14:textId="189344DA" w:rsidR="003976DC" w:rsidRDefault="003C5659" w:rsidP="003976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3976DC">
        <w:rPr>
          <w:rFonts w:ascii="Arial" w:hAnsi="Arial" w:cs="Arial"/>
          <w:b/>
        </w:rPr>
        <w:t>:</w:t>
      </w:r>
    </w:p>
    <w:p w14:paraId="58CE9F9D" w14:textId="09CE1DBC" w:rsidR="003976DC" w:rsidRDefault="003976DC" w:rsidP="003976DC">
      <w:pPr>
        <w:pStyle w:val="NoSpacing"/>
        <w:rPr>
          <w:rFonts w:ascii="Arial" w:hAnsi="Arial" w:cs="Arial"/>
          <w:b/>
        </w:rPr>
      </w:pPr>
    </w:p>
    <w:p w14:paraId="435764A7" w14:textId="22721BFB" w:rsidR="003976DC" w:rsidRDefault="003976DC" w:rsidP="003976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Insured’s Address: </w:t>
      </w:r>
    </w:p>
    <w:p w14:paraId="648DC40A" w14:textId="5491A6FC" w:rsidR="003976DC" w:rsidRDefault="003976DC" w:rsidP="003976DC">
      <w:pPr>
        <w:pStyle w:val="NoSpacing"/>
        <w:rPr>
          <w:rFonts w:ascii="Arial" w:hAnsi="Arial" w:cs="Arial"/>
          <w:b/>
        </w:rPr>
      </w:pPr>
    </w:p>
    <w:p w14:paraId="72BFFB58" w14:textId="4A1A4B17" w:rsidR="00663876" w:rsidRDefault="00663876" w:rsidP="003976DC">
      <w:pPr>
        <w:pStyle w:val="NoSpacing"/>
        <w:rPr>
          <w:rFonts w:ascii="Arial" w:hAnsi="Arial" w:cs="Arial"/>
          <w:b/>
        </w:rPr>
      </w:pPr>
    </w:p>
    <w:p w14:paraId="6DBF8F63" w14:textId="77777777" w:rsidR="00663876" w:rsidRDefault="00663876" w:rsidP="003976DC">
      <w:pPr>
        <w:pStyle w:val="NoSpacing"/>
        <w:rPr>
          <w:rFonts w:ascii="Arial" w:hAnsi="Arial" w:cs="Arial"/>
          <w:b/>
        </w:rPr>
      </w:pPr>
    </w:p>
    <w:p w14:paraId="6714F189" w14:textId="77777777" w:rsidR="003976DC" w:rsidRDefault="003976DC" w:rsidP="003976DC">
      <w:pPr>
        <w:pStyle w:val="NoSpacing"/>
        <w:jc w:val="center"/>
        <w:rPr>
          <w:rFonts w:ascii="Arial" w:hAnsi="Arial" w:cs="Arial"/>
          <w:b/>
        </w:rPr>
      </w:pPr>
    </w:p>
    <w:p w14:paraId="205EB8F5" w14:textId="77777777" w:rsidR="003976DC" w:rsidRDefault="003976DC" w:rsidP="003976DC">
      <w:pPr>
        <w:pStyle w:val="NoSpacing"/>
        <w:jc w:val="center"/>
        <w:rPr>
          <w:rFonts w:ascii="Arial" w:hAnsi="Arial" w:cs="Arial"/>
          <w:b/>
        </w:rPr>
      </w:pPr>
    </w:p>
    <w:p w14:paraId="7D0517BC" w14:textId="09F08D4F" w:rsidR="00F31902" w:rsidRDefault="003976DC" w:rsidP="003976DC">
      <w:pPr>
        <w:pStyle w:val="NoSpacing"/>
        <w:rPr>
          <w:rFonts w:ascii="Arial" w:hAnsi="Arial" w:cs="Arial"/>
          <w:b/>
        </w:rPr>
      </w:pPr>
      <w:r w:rsidRPr="00F42D08">
        <w:rPr>
          <w:rFonts w:ascii="Arial" w:hAnsi="Arial" w:cs="Arial"/>
          <w:b/>
        </w:rPr>
        <w:t xml:space="preserve">STATEMENT OF WORK </w:t>
      </w:r>
      <w:r w:rsidR="00731F82">
        <w:rPr>
          <w:rFonts w:ascii="Arial" w:hAnsi="Arial" w:cs="Arial"/>
          <w:b/>
        </w:rPr>
        <w:t>(SOW)</w:t>
      </w:r>
      <w:r w:rsidR="00F42D08" w:rsidRPr="00F42D08">
        <w:rPr>
          <w:rFonts w:ascii="Arial" w:hAnsi="Arial" w:cs="Arial"/>
          <w:b/>
        </w:rPr>
        <w:t xml:space="preserve">:  BENEFITS BROKERAGE SERVICES </w:t>
      </w:r>
    </w:p>
    <w:p w14:paraId="53BACB31" w14:textId="7BFEC816" w:rsidR="00F42D08" w:rsidRPr="00F42D08" w:rsidRDefault="00F31902" w:rsidP="003976D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(CLIENT NAME:</w:t>
      </w:r>
      <w:r w:rsidR="00731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…………………………………………………………………)</w:t>
      </w:r>
    </w:p>
    <w:p w14:paraId="4011F955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  <w:b/>
        </w:rPr>
      </w:pPr>
    </w:p>
    <w:p w14:paraId="0C970640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  <w:r w:rsidRPr="00F42D08">
        <w:rPr>
          <w:rFonts w:ascii="Arial" w:hAnsi="Arial" w:cs="Arial"/>
        </w:rPr>
        <w:t>Dear Sir,</w:t>
      </w:r>
    </w:p>
    <w:p w14:paraId="18D78CF6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20476654" w14:textId="23D69259" w:rsidR="00F42D08" w:rsidRPr="00F42D08" w:rsidRDefault="00F42D08" w:rsidP="00007BF9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F42D08">
        <w:rPr>
          <w:rFonts w:ascii="Arial" w:hAnsi="Arial" w:cs="Arial"/>
        </w:rPr>
        <w:t xml:space="preserve">This </w:t>
      </w:r>
      <w:r w:rsidR="00D66D14">
        <w:rPr>
          <w:rFonts w:ascii="Arial" w:hAnsi="Arial" w:cs="Arial"/>
        </w:rPr>
        <w:t>S</w:t>
      </w:r>
      <w:r w:rsidRPr="00F42D08">
        <w:rPr>
          <w:rFonts w:ascii="Arial" w:hAnsi="Arial" w:cs="Arial"/>
        </w:rPr>
        <w:t xml:space="preserve">tatement of </w:t>
      </w:r>
      <w:r w:rsidR="00D66D14">
        <w:rPr>
          <w:rFonts w:ascii="Arial" w:hAnsi="Arial" w:cs="Arial"/>
        </w:rPr>
        <w:t>W</w:t>
      </w:r>
      <w:r w:rsidRPr="00F42D08">
        <w:rPr>
          <w:rFonts w:ascii="Arial" w:hAnsi="Arial" w:cs="Arial"/>
        </w:rPr>
        <w:t xml:space="preserve">ork effective </w:t>
      </w:r>
      <w:r w:rsidR="00F31902">
        <w:rPr>
          <w:rFonts w:ascii="Arial" w:hAnsi="Arial" w:cs="Arial"/>
        </w:rPr>
        <w:t>………………..</w:t>
      </w:r>
      <w:r w:rsidR="00FC7534">
        <w:rPr>
          <w:rFonts w:ascii="Arial" w:hAnsi="Arial" w:cs="Arial"/>
        </w:rPr>
        <w:t xml:space="preserve"> sets out</w:t>
      </w:r>
      <w:r w:rsidR="00FC7534" w:rsidRPr="00F42D08">
        <w:rPr>
          <w:rFonts w:ascii="Arial" w:hAnsi="Arial" w:cs="Arial"/>
        </w:rPr>
        <w:t xml:space="preserve"> </w:t>
      </w:r>
      <w:r w:rsidRPr="00F42D08">
        <w:rPr>
          <w:rFonts w:ascii="Arial" w:hAnsi="Arial" w:cs="Arial"/>
        </w:rPr>
        <w:t xml:space="preserve">the </w:t>
      </w:r>
      <w:r w:rsidR="00F55DF5">
        <w:rPr>
          <w:rFonts w:ascii="Arial" w:hAnsi="Arial" w:cs="Arial"/>
        </w:rPr>
        <w:t xml:space="preserve">scope </w:t>
      </w:r>
      <w:r w:rsidRPr="00F42D08">
        <w:rPr>
          <w:rFonts w:ascii="Arial" w:hAnsi="Arial" w:cs="Arial"/>
        </w:rPr>
        <w:t xml:space="preserve">and terms of </w:t>
      </w:r>
      <w:r w:rsidRPr="00007BF9">
        <w:rPr>
          <w:rFonts w:ascii="Arial" w:hAnsi="Arial" w:cs="Arial"/>
          <w:color w:val="000000" w:themeColor="text1"/>
        </w:rPr>
        <w:t>engagement</w:t>
      </w:r>
      <w:r w:rsidRPr="00F42D0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Anika Insurance Brokers</w:t>
      </w:r>
      <w:r w:rsidR="00731F82">
        <w:rPr>
          <w:rFonts w:ascii="Arial" w:hAnsi="Arial" w:cs="Arial"/>
        </w:rPr>
        <w:t xml:space="preserve"> Sdn. </w:t>
      </w:r>
      <w:r w:rsidRPr="00F42D08">
        <w:rPr>
          <w:rFonts w:ascii="Arial" w:hAnsi="Arial" w:cs="Arial"/>
        </w:rPr>
        <w:t>Bhd (</w:t>
      </w:r>
      <w:r w:rsidR="000C5A57">
        <w:rPr>
          <w:rFonts w:ascii="Arial" w:hAnsi="Arial" w:cs="Arial"/>
        </w:rPr>
        <w:t>“</w:t>
      </w:r>
      <w:r>
        <w:rPr>
          <w:rFonts w:ascii="Arial" w:hAnsi="Arial" w:cs="Arial"/>
        </w:rPr>
        <w:t>Anika</w:t>
      </w:r>
      <w:r w:rsidR="000C5A57">
        <w:rPr>
          <w:rFonts w:ascii="Arial" w:hAnsi="Arial" w:cs="Arial"/>
        </w:rPr>
        <w:t>”</w:t>
      </w:r>
      <w:r w:rsidRPr="00F42D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by </w:t>
      </w:r>
      <w:r w:rsidR="00F31902" w:rsidRPr="004C0EBA">
        <w:rPr>
          <w:rFonts w:ascii="Arial" w:hAnsi="Arial" w:cs="Arial"/>
        </w:rPr>
        <w:t>&lt;Client’s Name&gt;</w:t>
      </w:r>
      <w:r w:rsidRPr="004C0EBA">
        <w:rPr>
          <w:rFonts w:ascii="Arial" w:hAnsi="Arial" w:cs="Arial"/>
        </w:rPr>
        <w:t xml:space="preserve"> (“</w:t>
      </w:r>
      <w:r w:rsidR="00F31902" w:rsidRPr="004C0EBA">
        <w:rPr>
          <w:rFonts w:ascii="Arial" w:hAnsi="Arial" w:cs="Arial"/>
        </w:rPr>
        <w:t>&lt;Client Name&gt;</w:t>
      </w:r>
      <w:r w:rsidRPr="00F42D08">
        <w:rPr>
          <w:rFonts w:ascii="Arial" w:hAnsi="Arial" w:cs="Arial"/>
        </w:rPr>
        <w:t xml:space="preserve">”, “Client” or “you”) </w:t>
      </w:r>
      <w:r w:rsidR="00FC7534">
        <w:rPr>
          <w:rFonts w:ascii="Arial" w:hAnsi="Arial" w:cs="Arial"/>
        </w:rPr>
        <w:t xml:space="preserve">in respect of </w:t>
      </w:r>
      <w:r w:rsidRPr="00F42D08">
        <w:rPr>
          <w:rFonts w:ascii="Arial" w:hAnsi="Arial" w:cs="Arial"/>
        </w:rPr>
        <w:t xml:space="preserve">local insurance </w:t>
      </w:r>
      <w:r>
        <w:rPr>
          <w:rFonts w:ascii="Arial" w:hAnsi="Arial" w:cs="Arial"/>
        </w:rPr>
        <w:t>advisory</w:t>
      </w:r>
      <w:r w:rsidRPr="00F42D08">
        <w:rPr>
          <w:rFonts w:ascii="Arial" w:hAnsi="Arial" w:cs="Arial"/>
        </w:rPr>
        <w:t xml:space="preserve"> and brokerage services in Malaysia</w:t>
      </w:r>
      <w:r w:rsidR="0054447E">
        <w:rPr>
          <w:rFonts w:ascii="Arial" w:hAnsi="Arial" w:cs="Arial"/>
        </w:rPr>
        <w:t xml:space="preserve"> (“Engagement”)</w:t>
      </w:r>
      <w:r w:rsidRPr="00F42D08">
        <w:rPr>
          <w:rFonts w:ascii="Arial" w:hAnsi="Arial" w:cs="Arial"/>
        </w:rPr>
        <w:t>.</w:t>
      </w:r>
    </w:p>
    <w:p w14:paraId="6E2D5764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5C7E7DFA" w14:textId="2EA4AA89" w:rsidR="00F42D08" w:rsidRPr="00641B78" w:rsidRDefault="00F42D08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t>Scope of Services</w:t>
      </w:r>
    </w:p>
    <w:p w14:paraId="7BB3DA53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  <w:u w:val="single"/>
        </w:rPr>
      </w:pPr>
    </w:p>
    <w:p w14:paraId="3DCBA1AE" w14:textId="051F3303" w:rsidR="00F42D08" w:rsidRPr="00F42D08" w:rsidRDefault="00F42D08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C269AC">
        <w:rPr>
          <w:rFonts w:ascii="Arial" w:hAnsi="Arial" w:cs="Arial"/>
          <w:color w:val="000000" w:themeColor="text1"/>
        </w:rPr>
        <w:t xml:space="preserve">Anika will provide </w:t>
      </w:r>
      <w:r w:rsidR="000C5A57">
        <w:rPr>
          <w:rFonts w:ascii="Arial" w:hAnsi="Arial" w:cs="Arial"/>
          <w:color w:val="000000" w:themeColor="text1"/>
        </w:rPr>
        <w:t xml:space="preserve">the </w:t>
      </w:r>
      <w:r w:rsidRPr="00C269AC">
        <w:rPr>
          <w:rFonts w:ascii="Arial" w:hAnsi="Arial" w:cs="Arial"/>
          <w:color w:val="000000" w:themeColor="text1"/>
        </w:rPr>
        <w:t xml:space="preserve">services described in </w:t>
      </w:r>
      <w:r w:rsidR="00D66D14" w:rsidRPr="00C269AC">
        <w:rPr>
          <w:rFonts w:ascii="Arial" w:hAnsi="Arial" w:cs="Arial"/>
          <w:color w:val="000000" w:themeColor="text1"/>
        </w:rPr>
        <w:t>Appendix</w:t>
      </w:r>
      <w:r w:rsidRPr="00C269AC">
        <w:rPr>
          <w:rFonts w:ascii="Arial" w:hAnsi="Arial" w:cs="Arial"/>
          <w:color w:val="000000" w:themeColor="text1"/>
        </w:rPr>
        <w:t xml:space="preserve"> 1 </w:t>
      </w:r>
      <w:r w:rsidR="00D66D14" w:rsidRPr="00C269AC">
        <w:rPr>
          <w:rFonts w:ascii="Arial" w:hAnsi="Arial" w:cs="Arial"/>
          <w:color w:val="000000" w:themeColor="text1"/>
        </w:rPr>
        <w:t>of</w:t>
      </w:r>
      <w:r w:rsidRPr="00C269AC">
        <w:rPr>
          <w:rFonts w:ascii="Arial" w:hAnsi="Arial" w:cs="Arial"/>
          <w:color w:val="000000" w:themeColor="text1"/>
        </w:rPr>
        <w:t xml:space="preserve"> this </w:t>
      </w:r>
      <w:r w:rsidR="00D66D14" w:rsidRPr="00C269AC">
        <w:rPr>
          <w:rFonts w:ascii="Arial" w:hAnsi="Arial" w:cs="Arial"/>
          <w:color w:val="000000" w:themeColor="text1"/>
        </w:rPr>
        <w:t>S</w:t>
      </w:r>
      <w:r w:rsidRPr="00C269AC">
        <w:rPr>
          <w:rFonts w:ascii="Arial" w:hAnsi="Arial" w:cs="Arial"/>
          <w:color w:val="000000" w:themeColor="text1"/>
        </w:rPr>
        <w:t xml:space="preserve">tatement of </w:t>
      </w:r>
      <w:r w:rsidR="00D66D14" w:rsidRPr="00C269AC">
        <w:rPr>
          <w:rFonts w:ascii="Arial" w:hAnsi="Arial" w:cs="Arial"/>
          <w:color w:val="000000" w:themeColor="text1"/>
        </w:rPr>
        <w:t>W</w:t>
      </w:r>
      <w:r w:rsidRPr="00C269AC">
        <w:rPr>
          <w:rFonts w:ascii="Arial" w:hAnsi="Arial" w:cs="Arial"/>
          <w:color w:val="000000" w:themeColor="text1"/>
        </w:rPr>
        <w:t>ork</w:t>
      </w:r>
      <w:r w:rsidR="00161563">
        <w:rPr>
          <w:rFonts w:ascii="Arial" w:hAnsi="Arial" w:cs="Arial"/>
          <w:color w:val="000000" w:themeColor="text1"/>
        </w:rPr>
        <w:t xml:space="preserve">. </w:t>
      </w:r>
      <w:r w:rsidR="00F31902" w:rsidRPr="004C0EBA">
        <w:rPr>
          <w:rFonts w:ascii="Arial" w:hAnsi="Arial" w:cs="Arial"/>
          <w:color w:val="000000" w:themeColor="text1"/>
        </w:rPr>
        <w:t>&lt;Name of Account Manager&gt;</w:t>
      </w:r>
      <w:r w:rsidRPr="00C269AC">
        <w:rPr>
          <w:rFonts w:ascii="Arial" w:hAnsi="Arial" w:cs="Arial"/>
          <w:color w:val="000000" w:themeColor="text1"/>
        </w:rPr>
        <w:t xml:space="preserve"> will </w:t>
      </w:r>
      <w:r w:rsidR="00445ADF" w:rsidRPr="00C269AC">
        <w:rPr>
          <w:rFonts w:ascii="Arial" w:hAnsi="Arial" w:cs="Arial"/>
          <w:color w:val="000000" w:themeColor="text1"/>
        </w:rPr>
        <w:t>serve</w:t>
      </w:r>
      <w:r w:rsidRPr="00C269AC">
        <w:rPr>
          <w:rFonts w:ascii="Arial" w:hAnsi="Arial" w:cs="Arial"/>
          <w:color w:val="000000" w:themeColor="text1"/>
        </w:rPr>
        <w:t xml:space="preserve"> as the lead</w:t>
      </w:r>
      <w:r w:rsidR="005E11C4">
        <w:rPr>
          <w:rFonts w:ascii="Arial" w:hAnsi="Arial" w:cs="Arial"/>
          <w:color w:val="000000" w:themeColor="text1"/>
        </w:rPr>
        <w:t>er</w:t>
      </w:r>
      <w:r w:rsidRPr="00C269AC">
        <w:rPr>
          <w:rFonts w:ascii="Arial" w:hAnsi="Arial" w:cs="Arial"/>
          <w:color w:val="000000" w:themeColor="text1"/>
        </w:rPr>
        <w:t xml:space="preserve"> </w:t>
      </w:r>
      <w:r w:rsidR="00B7781D">
        <w:rPr>
          <w:rFonts w:ascii="Arial" w:hAnsi="Arial" w:cs="Arial"/>
          <w:color w:val="000000" w:themeColor="text1"/>
        </w:rPr>
        <w:t xml:space="preserve">for the services provided by Anika </w:t>
      </w:r>
      <w:r w:rsidR="00970AC5">
        <w:rPr>
          <w:rFonts w:ascii="Arial" w:hAnsi="Arial" w:cs="Arial"/>
          <w:color w:val="000000" w:themeColor="text1"/>
        </w:rPr>
        <w:t>to you pursuant to this engagement</w:t>
      </w:r>
      <w:r w:rsidR="00FA0F48">
        <w:rPr>
          <w:rFonts w:ascii="Arial" w:hAnsi="Arial" w:cs="Arial"/>
          <w:color w:val="000000" w:themeColor="text1"/>
        </w:rPr>
        <w:t xml:space="preserve"> (</w:t>
      </w:r>
      <w:r w:rsidR="00FA0F48" w:rsidRPr="00EC6CE9">
        <w:rPr>
          <w:rFonts w:ascii="Arial" w:hAnsi="Arial" w:cs="Arial"/>
          <w:color w:val="000000" w:themeColor="text1"/>
        </w:rPr>
        <w:t>“</w:t>
      </w:r>
      <w:r w:rsidR="00FA0F48" w:rsidRPr="005D5E4B">
        <w:rPr>
          <w:rFonts w:ascii="Arial" w:hAnsi="Arial" w:cs="Arial"/>
          <w:color w:val="000000" w:themeColor="text1"/>
        </w:rPr>
        <w:t>Services</w:t>
      </w:r>
      <w:r w:rsidR="00FA0F48" w:rsidRPr="00EC6CE9">
        <w:rPr>
          <w:rFonts w:ascii="Arial" w:hAnsi="Arial" w:cs="Arial"/>
          <w:color w:val="000000" w:themeColor="text1"/>
        </w:rPr>
        <w:t>”</w:t>
      </w:r>
      <w:r w:rsidR="00FA0F48">
        <w:rPr>
          <w:rFonts w:ascii="Arial" w:hAnsi="Arial" w:cs="Arial"/>
          <w:color w:val="000000" w:themeColor="text1"/>
        </w:rPr>
        <w:t>)</w:t>
      </w:r>
      <w:r w:rsidR="00B7781D">
        <w:rPr>
          <w:rFonts w:ascii="Arial" w:hAnsi="Arial" w:cs="Arial"/>
          <w:color w:val="000000" w:themeColor="text1"/>
        </w:rPr>
        <w:t>, and will</w:t>
      </w:r>
      <w:r w:rsidR="00970AC5">
        <w:rPr>
          <w:rFonts w:ascii="Arial" w:hAnsi="Arial" w:cs="Arial"/>
          <w:color w:val="000000" w:themeColor="text1"/>
        </w:rPr>
        <w:t xml:space="preserve"> be responsible </w:t>
      </w:r>
      <w:r w:rsidRPr="00C269AC">
        <w:rPr>
          <w:rFonts w:ascii="Arial" w:hAnsi="Arial" w:cs="Arial"/>
          <w:color w:val="000000" w:themeColor="text1"/>
        </w:rPr>
        <w:t xml:space="preserve">for </w:t>
      </w:r>
      <w:r w:rsidR="00970AC5">
        <w:rPr>
          <w:rFonts w:ascii="Arial" w:hAnsi="Arial" w:cs="Arial"/>
          <w:color w:val="000000" w:themeColor="text1"/>
        </w:rPr>
        <w:t>the</w:t>
      </w:r>
      <w:r w:rsidRPr="00C269AC">
        <w:rPr>
          <w:rFonts w:ascii="Arial" w:hAnsi="Arial" w:cs="Arial"/>
          <w:color w:val="000000" w:themeColor="text1"/>
        </w:rPr>
        <w:t xml:space="preserve"> overall success</w:t>
      </w:r>
      <w:r w:rsidR="00970AC5">
        <w:rPr>
          <w:rFonts w:ascii="Arial" w:hAnsi="Arial" w:cs="Arial"/>
          <w:color w:val="000000" w:themeColor="text1"/>
        </w:rPr>
        <w:t xml:space="preserve"> of the same</w:t>
      </w:r>
      <w:r w:rsidRPr="00C269AC">
        <w:rPr>
          <w:rFonts w:ascii="Arial" w:hAnsi="Arial" w:cs="Arial"/>
          <w:color w:val="000000" w:themeColor="text1"/>
        </w:rPr>
        <w:t xml:space="preserve">.  </w:t>
      </w:r>
      <w:r w:rsidR="00F31902" w:rsidRPr="004C0EBA">
        <w:rPr>
          <w:rFonts w:ascii="Arial" w:hAnsi="Arial" w:cs="Arial"/>
          <w:color w:val="000000" w:themeColor="text1"/>
        </w:rPr>
        <w:t>&lt;Name of Account Manager&gt;</w:t>
      </w:r>
      <w:r w:rsidR="00F31902" w:rsidRPr="00C269AC">
        <w:rPr>
          <w:rFonts w:ascii="Arial" w:hAnsi="Arial" w:cs="Arial"/>
          <w:color w:val="000000" w:themeColor="text1"/>
        </w:rPr>
        <w:t xml:space="preserve"> </w:t>
      </w:r>
      <w:r w:rsidRPr="00C269AC">
        <w:rPr>
          <w:rFonts w:ascii="Arial" w:hAnsi="Arial" w:cs="Arial"/>
          <w:color w:val="000000" w:themeColor="text1"/>
        </w:rPr>
        <w:t xml:space="preserve">will serve as the project manager and the day-to-day contact for all aspects of the </w:t>
      </w:r>
      <w:r w:rsidR="00FA0F48">
        <w:rPr>
          <w:rFonts w:ascii="Arial" w:hAnsi="Arial" w:cs="Arial"/>
          <w:color w:val="000000" w:themeColor="text1"/>
        </w:rPr>
        <w:t>Services</w:t>
      </w:r>
      <w:r w:rsidRPr="00C269AC">
        <w:rPr>
          <w:rFonts w:ascii="Arial" w:hAnsi="Arial" w:cs="Arial"/>
          <w:color w:val="000000" w:themeColor="text1"/>
        </w:rPr>
        <w:t xml:space="preserve">. Other Anika personnel may assist with the </w:t>
      </w:r>
      <w:r w:rsidR="00FA0F48">
        <w:rPr>
          <w:rFonts w:ascii="Arial" w:hAnsi="Arial" w:cs="Arial"/>
          <w:color w:val="000000" w:themeColor="text1"/>
        </w:rPr>
        <w:t>Services</w:t>
      </w:r>
      <w:r w:rsidRPr="00C269AC">
        <w:rPr>
          <w:rFonts w:ascii="Arial" w:hAnsi="Arial" w:cs="Arial"/>
          <w:color w:val="000000" w:themeColor="text1"/>
        </w:rPr>
        <w:t xml:space="preserve"> as </w:t>
      </w:r>
      <w:r w:rsidR="00442ADE" w:rsidRPr="00C269AC">
        <w:rPr>
          <w:rFonts w:ascii="Arial" w:hAnsi="Arial" w:cs="Arial"/>
          <w:color w:val="000000" w:themeColor="text1"/>
        </w:rPr>
        <w:t xml:space="preserve">and when </w:t>
      </w:r>
      <w:r w:rsidR="00157EF1">
        <w:rPr>
          <w:rFonts w:ascii="Arial" w:hAnsi="Arial" w:cs="Arial"/>
          <w:color w:val="000000" w:themeColor="text1"/>
        </w:rPr>
        <w:t xml:space="preserve">reasonably </w:t>
      </w:r>
      <w:r w:rsidR="00157EF1">
        <w:rPr>
          <w:rFonts w:ascii="Arial" w:hAnsi="Arial" w:cs="Arial"/>
        </w:rPr>
        <w:t>required</w:t>
      </w:r>
      <w:r w:rsidRPr="00F42D08">
        <w:rPr>
          <w:rFonts w:ascii="Arial" w:hAnsi="Arial" w:cs="Arial"/>
        </w:rPr>
        <w:t xml:space="preserve">. </w:t>
      </w:r>
    </w:p>
    <w:p w14:paraId="4806700B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3A053C0D" w14:textId="77777777" w:rsidR="00F42D08" w:rsidRPr="00641B78" w:rsidRDefault="00F42D08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t>Terms and Conditions of Engagement</w:t>
      </w:r>
    </w:p>
    <w:p w14:paraId="75DD8155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  <w:u w:val="single"/>
        </w:rPr>
      </w:pPr>
    </w:p>
    <w:p w14:paraId="149F6BD5" w14:textId="34EAC753" w:rsidR="00F42D08" w:rsidRPr="00C269AC" w:rsidRDefault="0087201D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terms and conditions of Anika’s Engagement by </w:t>
      </w:r>
      <w:r w:rsidR="00F31902" w:rsidRPr="004C0EBA">
        <w:rPr>
          <w:rFonts w:ascii="Arial" w:hAnsi="Arial" w:cs="Arial"/>
          <w:color w:val="000000" w:themeColor="text1"/>
        </w:rPr>
        <w:t>&lt;Client’s Name&gt;</w:t>
      </w:r>
      <w:r w:rsidR="00F31902" w:rsidRPr="00C269AC">
        <w:rPr>
          <w:rFonts w:ascii="Arial" w:hAnsi="Arial" w:cs="Arial"/>
          <w:color w:val="000000" w:themeColor="text1"/>
        </w:rPr>
        <w:t xml:space="preserve"> </w:t>
      </w:r>
      <w:r w:rsidR="00157EF1">
        <w:rPr>
          <w:rFonts w:ascii="Arial" w:hAnsi="Arial" w:cs="Arial"/>
          <w:color w:val="000000" w:themeColor="text1"/>
        </w:rPr>
        <w:t>are</w:t>
      </w:r>
      <w:r w:rsidR="00F42D08" w:rsidRPr="00C269A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as set out in </w:t>
      </w:r>
      <w:r w:rsidR="007B49C9">
        <w:rPr>
          <w:rFonts w:ascii="Arial" w:hAnsi="Arial" w:cs="Arial"/>
          <w:color w:val="000000" w:themeColor="text1"/>
        </w:rPr>
        <w:t xml:space="preserve">this Statement of Work and </w:t>
      </w:r>
      <w:r w:rsidR="00667B07" w:rsidRPr="00C269AC">
        <w:rPr>
          <w:rFonts w:ascii="Arial" w:hAnsi="Arial" w:cs="Arial"/>
          <w:color w:val="000000" w:themeColor="text1"/>
        </w:rPr>
        <w:t xml:space="preserve">the </w:t>
      </w:r>
      <w:r w:rsidR="00494AC0">
        <w:rPr>
          <w:rFonts w:ascii="Arial" w:hAnsi="Arial" w:cs="Arial"/>
          <w:color w:val="000000" w:themeColor="text1"/>
        </w:rPr>
        <w:t xml:space="preserve">General </w:t>
      </w:r>
      <w:r w:rsidR="00667B07" w:rsidRPr="00C269AC">
        <w:rPr>
          <w:rFonts w:ascii="Arial" w:hAnsi="Arial" w:cs="Arial"/>
          <w:color w:val="000000" w:themeColor="text1"/>
        </w:rPr>
        <w:t>Terms of Business Agreement</w:t>
      </w:r>
      <w:r w:rsidR="003B13A1">
        <w:rPr>
          <w:rFonts w:ascii="Arial" w:hAnsi="Arial" w:cs="Arial"/>
          <w:color w:val="000000" w:themeColor="text1"/>
        </w:rPr>
        <w:t xml:space="preserve">. In the event of any conflict </w:t>
      </w:r>
      <w:r w:rsidR="003B13A1" w:rsidRPr="00641B78">
        <w:rPr>
          <w:rFonts w:ascii="Arial" w:hAnsi="Arial" w:cs="Arial"/>
          <w:color w:val="000000" w:themeColor="text1"/>
        </w:rPr>
        <w:t>between</w:t>
      </w:r>
      <w:r w:rsidR="003B13A1">
        <w:rPr>
          <w:rFonts w:ascii="Arial" w:hAnsi="Arial" w:cs="Arial"/>
          <w:color w:val="000000" w:themeColor="text1"/>
        </w:rPr>
        <w:t xml:space="preserve"> the terms of this Statement of Work and those in the General Terms of Business Agreement, the terms in this Statement of Work shall prevail.</w:t>
      </w:r>
    </w:p>
    <w:p w14:paraId="0F0B1A0C" w14:textId="6296035C" w:rsidR="00667B07" w:rsidRDefault="00667B07" w:rsidP="00F42D0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57727640" w14:textId="79D77D08" w:rsidR="006D6887" w:rsidRDefault="006D6887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29635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Statement of Work and the General Terms of Business Agreement </w:t>
      </w:r>
      <w:r w:rsidRPr="0029635C">
        <w:rPr>
          <w:rFonts w:ascii="Arial" w:hAnsi="Arial" w:cs="Arial"/>
        </w:rPr>
        <w:t xml:space="preserve">contain all terms of this </w:t>
      </w:r>
      <w:r w:rsidRPr="00641B78">
        <w:rPr>
          <w:rFonts w:ascii="Arial" w:hAnsi="Arial" w:cs="Arial"/>
          <w:color w:val="000000" w:themeColor="text1"/>
        </w:rPr>
        <w:t>Engagement</w:t>
      </w:r>
      <w:r w:rsidRPr="0029635C">
        <w:rPr>
          <w:rFonts w:ascii="Arial" w:hAnsi="Arial" w:cs="Arial"/>
        </w:rPr>
        <w:t xml:space="preserve"> and no additional oral representations have been relied upon</w:t>
      </w:r>
      <w:r>
        <w:rPr>
          <w:rFonts w:ascii="Arial" w:hAnsi="Arial" w:cs="Arial"/>
        </w:rPr>
        <w:t>.</w:t>
      </w:r>
    </w:p>
    <w:p w14:paraId="63DF7411" w14:textId="77777777" w:rsidR="006D6887" w:rsidRPr="00C269AC" w:rsidRDefault="006D6887" w:rsidP="00F42D08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42F8978E" w14:textId="00FBB5B8" w:rsidR="00F42D08" w:rsidRPr="00C269AC" w:rsidRDefault="003B13A1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construction, validity and performance of </w:t>
      </w:r>
      <w:r w:rsidR="00C83C28">
        <w:rPr>
          <w:rFonts w:ascii="Arial" w:hAnsi="Arial" w:cs="Arial"/>
          <w:color w:val="000000" w:themeColor="text1"/>
        </w:rPr>
        <w:t xml:space="preserve">this </w:t>
      </w:r>
      <w:r w:rsidR="00F42D08" w:rsidRPr="00C269AC">
        <w:rPr>
          <w:rFonts w:ascii="Arial" w:hAnsi="Arial" w:cs="Arial"/>
          <w:color w:val="000000" w:themeColor="text1"/>
        </w:rPr>
        <w:t xml:space="preserve">Statement of Work and </w:t>
      </w:r>
      <w:r w:rsidR="00C83C28">
        <w:rPr>
          <w:rFonts w:ascii="Arial" w:hAnsi="Arial" w:cs="Arial"/>
          <w:color w:val="000000" w:themeColor="text1"/>
        </w:rPr>
        <w:t>the G</w:t>
      </w:r>
      <w:r w:rsidR="00C83C28" w:rsidRPr="00C269AC">
        <w:rPr>
          <w:rFonts w:ascii="Arial" w:hAnsi="Arial" w:cs="Arial"/>
          <w:color w:val="000000" w:themeColor="text1"/>
        </w:rPr>
        <w:t xml:space="preserve">eneral </w:t>
      </w:r>
      <w:r w:rsidR="00C83C28">
        <w:rPr>
          <w:rFonts w:ascii="Arial" w:hAnsi="Arial" w:cs="Arial"/>
          <w:color w:val="000000" w:themeColor="text1"/>
        </w:rPr>
        <w:t>T</w:t>
      </w:r>
      <w:r w:rsidR="00C83C28" w:rsidRPr="00C269AC">
        <w:rPr>
          <w:rFonts w:ascii="Arial" w:hAnsi="Arial" w:cs="Arial"/>
          <w:color w:val="000000" w:themeColor="text1"/>
        </w:rPr>
        <w:t xml:space="preserve">erms </w:t>
      </w:r>
      <w:r w:rsidR="00C83C28">
        <w:rPr>
          <w:rFonts w:ascii="Arial" w:hAnsi="Arial" w:cs="Arial"/>
          <w:color w:val="000000" w:themeColor="text1"/>
        </w:rPr>
        <w:t xml:space="preserve">of Business Agreement shall </w:t>
      </w:r>
      <w:r w:rsidR="00F42D08" w:rsidRPr="00C269AC">
        <w:rPr>
          <w:rFonts w:ascii="Arial" w:hAnsi="Arial" w:cs="Arial"/>
          <w:color w:val="000000" w:themeColor="text1"/>
        </w:rPr>
        <w:t xml:space="preserve">be governed by </w:t>
      </w:r>
      <w:r w:rsidR="00D66D14" w:rsidRPr="00C269AC">
        <w:rPr>
          <w:rFonts w:ascii="Arial" w:hAnsi="Arial" w:cs="Arial"/>
          <w:color w:val="000000" w:themeColor="text1"/>
        </w:rPr>
        <w:t xml:space="preserve">the </w:t>
      </w:r>
      <w:r w:rsidR="00C83C28">
        <w:rPr>
          <w:rFonts w:ascii="Arial" w:hAnsi="Arial" w:cs="Arial"/>
          <w:color w:val="000000" w:themeColor="text1"/>
        </w:rPr>
        <w:t xml:space="preserve">laws of </w:t>
      </w:r>
      <w:r w:rsidR="00F42D08" w:rsidRPr="00C269AC">
        <w:rPr>
          <w:rFonts w:ascii="Arial" w:hAnsi="Arial" w:cs="Arial"/>
          <w:color w:val="000000" w:themeColor="text1"/>
        </w:rPr>
        <w:t>Malaysia</w:t>
      </w:r>
      <w:r w:rsidR="0054447E">
        <w:rPr>
          <w:rFonts w:ascii="Arial" w:hAnsi="Arial" w:cs="Arial"/>
          <w:color w:val="000000" w:themeColor="text1"/>
        </w:rPr>
        <w:t>. A</w:t>
      </w:r>
      <w:r w:rsidR="00F42D08" w:rsidRPr="00C269AC">
        <w:rPr>
          <w:rFonts w:ascii="Arial" w:hAnsi="Arial" w:cs="Arial"/>
          <w:color w:val="000000" w:themeColor="text1"/>
        </w:rPr>
        <w:t xml:space="preserve">ny dispute arising </w:t>
      </w:r>
      <w:r w:rsidR="00C83C28">
        <w:rPr>
          <w:rFonts w:ascii="Arial" w:hAnsi="Arial" w:cs="Arial"/>
          <w:color w:val="000000" w:themeColor="text1"/>
        </w:rPr>
        <w:t xml:space="preserve">out of or in relation to this </w:t>
      </w:r>
      <w:r w:rsidR="007B49C9">
        <w:rPr>
          <w:rFonts w:ascii="Arial" w:hAnsi="Arial" w:cs="Arial"/>
          <w:color w:val="000000" w:themeColor="text1"/>
        </w:rPr>
        <w:t xml:space="preserve">Engagement </w:t>
      </w:r>
      <w:r w:rsidR="00F42D08" w:rsidRPr="00C269AC">
        <w:rPr>
          <w:rFonts w:ascii="Arial" w:hAnsi="Arial" w:cs="Arial"/>
          <w:color w:val="000000" w:themeColor="text1"/>
        </w:rPr>
        <w:t xml:space="preserve">shall be subject to the exclusive </w:t>
      </w:r>
      <w:r w:rsidR="00157EF1">
        <w:rPr>
          <w:rFonts w:ascii="Arial" w:hAnsi="Arial" w:cs="Arial"/>
          <w:color w:val="000000" w:themeColor="text1"/>
        </w:rPr>
        <w:t>j</w:t>
      </w:r>
      <w:r w:rsidR="00F42D08" w:rsidRPr="00C269AC">
        <w:rPr>
          <w:rFonts w:ascii="Arial" w:hAnsi="Arial" w:cs="Arial"/>
          <w:color w:val="000000" w:themeColor="text1"/>
        </w:rPr>
        <w:t xml:space="preserve">urisdiction of the Malaysian </w:t>
      </w:r>
      <w:r w:rsidR="00D66D14" w:rsidRPr="00C269AC">
        <w:rPr>
          <w:rFonts w:ascii="Arial" w:hAnsi="Arial" w:cs="Arial"/>
          <w:color w:val="000000" w:themeColor="text1"/>
        </w:rPr>
        <w:t>C</w:t>
      </w:r>
      <w:r w:rsidR="00F42D08" w:rsidRPr="00C269AC">
        <w:rPr>
          <w:rFonts w:ascii="Arial" w:hAnsi="Arial" w:cs="Arial"/>
          <w:color w:val="000000" w:themeColor="text1"/>
        </w:rPr>
        <w:t>ourts.</w:t>
      </w:r>
    </w:p>
    <w:p w14:paraId="55DAFFDF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4D96ED52" w14:textId="77777777" w:rsidR="00F42D08" w:rsidRPr="00641B78" w:rsidRDefault="00F42D08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t>Other Services</w:t>
      </w:r>
    </w:p>
    <w:p w14:paraId="321B3E6D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  <w:u w:val="single"/>
        </w:rPr>
      </w:pPr>
    </w:p>
    <w:p w14:paraId="36C9AA77" w14:textId="594FA9E5" w:rsidR="00C00ED4" w:rsidRDefault="00C00ED4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 the event you request </w:t>
      </w:r>
      <w:r w:rsidR="00F45A2F">
        <w:rPr>
          <w:rFonts w:ascii="Arial" w:hAnsi="Arial" w:cs="Arial"/>
          <w:color w:val="000000" w:themeColor="text1"/>
        </w:rPr>
        <w:t xml:space="preserve">Anika to carry out services beyond the scope stated in Appendix 1 of this Statement of Work, </w:t>
      </w:r>
      <w:r w:rsidR="000C6460">
        <w:rPr>
          <w:rFonts w:ascii="Arial" w:hAnsi="Arial" w:cs="Arial"/>
          <w:color w:val="000000" w:themeColor="text1"/>
        </w:rPr>
        <w:t>Anika reserves its right to issue a separate Statement of Work for the same</w:t>
      </w:r>
      <w:r w:rsidR="00552C91">
        <w:rPr>
          <w:rFonts w:ascii="Arial" w:hAnsi="Arial" w:cs="Arial"/>
          <w:color w:val="000000" w:themeColor="text1"/>
        </w:rPr>
        <w:t>.</w:t>
      </w:r>
      <w:r w:rsidR="000C6460">
        <w:rPr>
          <w:rFonts w:ascii="Arial" w:hAnsi="Arial" w:cs="Arial"/>
          <w:color w:val="000000" w:themeColor="text1"/>
        </w:rPr>
        <w:t xml:space="preserve"> </w:t>
      </w:r>
    </w:p>
    <w:p w14:paraId="0799D681" w14:textId="5364F93B" w:rsidR="003976DC" w:rsidRDefault="003976DC" w:rsidP="00F42D08">
      <w:pPr>
        <w:pStyle w:val="NoSpacing"/>
        <w:jc w:val="both"/>
        <w:rPr>
          <w:rFonts w:ascii="Arial" w:hAnsi="Arial" w:cs="Arial"/>
        </w:rPr>
      </w:pPr>
    </w:p>
    <w:p w14:paraId="63BA24ED" w14:textId="77777777" w:rsidR="00B53ECF" w:rsidRDefault="00B53ECF" w:rsidP="00F42D08">
      <w:pPr>
        <w:pStyle w:val="NoSpacing"/>
        <w:jc w:val="both"/>
        <w:rPr>
          <w:rFonts w:ascii="Arial" w:hAnsi="Arial" w:cs="Arial"/>
        </w:rPr>
      </w:pPr>
    </w:p>
    <w:p w14:paraId="2B665AFC" w14:textId="68D9FCFD" w:rsidR="00F42D08" w:rsidRPr="00641B78" w:rsidRDefault="0029635C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lastRenderedPageBreak/>
        <w:t xml:space="preserve">Severability </w:t>
      </w:r>
    </w:p>
    <w:p w14:paraId="4AD4B341" w14:textId="0A80204F" w:rsidR="00663876" w:rsidRDefault="00663876" w:rsidP="00F42D08">
      <w:pPr>
        <w:pStyle w:val="NoSpacing"/>
        <w:jc w:val="both"/>
        <w:rPr>
          <w:rFonts w:ascii="Arial" w:hAnsi="Arial" w:cs="Arial"/>
        </w:rPr>
      </w:pPr>
    </w:p>
    <w:p w14:paraId="70642A06" w14:textId="7FCDBCD1" w:rsidR="0029635C" w:rsidRDefault="00820356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 w:rsidRPr="0029635C">
        <w:rPr>
          <w:rFonts w:ascii="Arial" w:hAnsi="Arial" w:cs="Arial"/>
        </w:rPr>
        <w:t xml:space="preserve">Any term of this </w:t>
      </w:r>
      <w:r>
        <w:rPr>
          <w:rFonts w:ascii="Arial" w:hAnsi="Arial" w:cs="Arial"/>
        </w:rPr>
        <w:t xml:space="preserve">Statement of Work and the General Terms of Business Agreement </w:t>
      </w:r>
      <w:r w:rsidRPr="0029635C">
        <w:rPr>
          <w:rFonts w:ascii="Arial" w:hAnsi="Arial" w:cs="Arial"/>
        </w:rPr>
        <w:t xml:space="preserve">found to be unlawful, void or unenforceable shall be deemed deleted from this </w:t>
      </w:r>
      <w:r>
        <w:rPr>
          <w:rFonts w:ascii="Arial" w:hAnsi="Arial" w:cs="Arial"/>
        </w:rPr>
        <w:t xml:space="preserve">Statement of Work and the General Terms of Business Agreement, </w:t>
      </w:r>
      <w:r w:rsidRPr="0029635C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 xml:space="preserve">same </w:t>
      </w:r>
      <w:r w:rsidRPr="0029635C">
        <w:rPr>
          <w:rFonts w:ascii="Arial" w:hAnsi="Arial" w:cs="Arial"/>
        </w:rPr>
        <w:t>shall otherwise remain in force</w:t>
      </w:r>
      <w:r>
        <w:rPr>
          <w:rFonts w:ascii="Arial" w:hAnsi="Arial" w:cs="Arial"/>
        </w:rPr>
        <w:t>.</w:t>
      </w:r>
    </w:p>
    <w:p w14:paraId="2C90E7D6" w14:textId="16289168" w:rsidR="0029635C" w:rsidRDefault="0029635C" w:rsidP="00F42D08">
      <w:pPr>
        <w:pStyle w:val="NoSpacing"/>
        <w:jc w:val="both"/>
        <w:rPr>
          <w:rFonts w:ascii="Arial" w:hAnsi="Arial" w:cs="Arial"/>
        </w:rPr>
      </w:pPr>
    </w:p>
    <w:p w14:paraId="33AFB4C3" w14:textId="245BFF59" w:rsidR="005C79AC" w:rsidRPr="00641B78" w:rsidRDefault="005C79AC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t>Force Majeure</w:t>
      </w:r>
    </w:p>
    <w:p w14:paraId="30500D0D" w14:textId="77777777" w:rsidR="005C79AC" w:rsidRDefault="005C79AC" w:rsidP="005E1543">
      <w:pPr>
        <w:pStyle w:val="NoSpacing"/>
        <w:jc w:val="both"/>
        <w:rPr>
          <w:rFonts w:ascii="Arial" w:hAnsi="Arial" w:cs="Arial"/>
          <w:b/>
          <w:bCs/>
        </w:rPr>
      </w:pPr>
    </w:p>
    <w:p w14:paraId="03CEB408" w14:textId="6E75A41E" w:rsidR="005C79AC" w:rsidRDefault="00590D15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hyperlink r:id="rId12" w:history="1">
        <w:r w:rsidR="005C79AC" w:rsidRPr="005C79AC">
          <w:rPr>
            <w:rFonts w:ascii="Arial" w:hAnsi="Arial" w:cs="Arial"/>
          </w:rPr>
          <w:t>In no</w:t>
        </w:r>
      </w:hyperlink>
      <w:r w:rsidR="005C79AC" w:rsidRPr="005C79AC">
        <w:rPr>
          <w:rFonts w:ascii="Arial" w:hAnsi="Arial" w:cs="Arial"/>
        </w:rPr>
        <w:t xml:space="preserve"> event shall </w:t>
      </w:r>
      <w:r w:rsidR="005C79AC">
        <w:rPr>
          <w:rFonts w:ascii="Arial" w:hAnsi="Arial" w:cs="Arial"/>
        </w:rPr>
        <w:t xml:space="preserve">Anika </w:t>
      </w:r>
      <w:r w:rsidR="005C79AC" w:rsidRPr="005C79AC">
        <w:rPr>
          <w:rFonts w:ascii="Arial" w:hAnsi="Arial" w:cs="Arial"/>
        </w:rPr>
        <w:t xml:space="preserve">be responsible or liable for any failure or delay in the performance of its obligations </w:t>
      </w:r>
      <w:r w:rsidR="005C79AC">
        <w:rPr>
          <w:rFonts w:ascii="Arial" w:hAnsi="Arial" w:cs="Arial"/>
        </w:rPr>
        <w:t xml:space="preserve">under this Engagement </w:t>
      </w:r>
      <w:r w:rsidR="005C79AC" w:rsidRPr="005C79AC">
        <w:rPr>
          <w:rFonts w:ascii="Arial" w:hAnsi="Arial" w:cs="Arial"/>
        </w:rPr>
        <w:t xml:space="preserve">arising out of or caused by, directly or indirectly, forces beyond its control, including, without limitation, strikes, work stoppages, accidents, acts of war or terrorism, civil or military disturbances, </w:t>
      </w:r>
      <w:r w:rsidR="00D10668">
        <w:rPr>
          <w:rFonts w:ascii="Arial" w:hAnsi="Arial" w:cs="Arial"/>
        </w:rPr>
        <w:t xml:space="preserve">epidemics, </w:t>
      </w:r>
      <w:r w:rsidR="005E1543">
        <w:rPr>
          <w:rFonts w:ascii="Arial" w:hAnsi="Arial" w:cs="Arial"/>
        </w:rPr>
        <w:t xml:space="preserve">pandemics, </w:t>
      </w:r>
      <w:r w:rsidR="005C79AC" w:rsidRPr="005C79AC">
        <w:rPr>
          <w:rFonts w:ascii="Arial" w:hAnsi="Arial" w:cs="Arial"/>
        </w:rPr>
        <w:t xml:space="preserve">nuclear or natural </w:t>
      </w:r>
      <w:r w:rsidR="005C79AC" w:rsidRPr="00641B78">
        <w:rPr>
          <w:rFonts w:ascii="Arial" w:hAnsi="Arial" w:cs="Arial"/>
          <w:color w:val="000000" w:themeColor="text1"/>
        </w:rPr>
        <w:t>catastrophes</w:t>
      </w:r>
      <w:r w:rsidR="005C79AC" w:rsidRPr="005C79AC">
        <w:rPr>
          <w:rFonts w:ascii="Arial" w:hAnsi="Arial" w:cs="Arial"/>
        </w:rPr>
        <w:t xml:space="preserve"> or acts of God; it being understood that </w:t>
      </w:r>
      <w:r w:rsidR="005E1543">
        <w:rPr>
          <w:rFonts w:ascii="Arial" w:hAnsi="Arial" w:cs="Arial"/>
        </w:rPr>
        <w:t xml:space="preserve">Anika </w:t>
      </w:r>
      <w:r w:rsidR="005C79AC" w:rsidRPr="005C79AC">
        <w:rPr>
          <w:rFonts w:ascii="Arial" w:hAnsi="Arial" w:cs="Arial"/>
        </w:rPr>
        <w:t xml:space="preserve">shall use reasonable efforts which are consistent with accepted practices in the </w:t>
      </w:r>
      <w:r w:rsidR="005E1543">
        <w:rPr>
          <w:rFonts w:ascii="Arial" w:hAnsi="Arial" w:cs="Arial"/>
        </w:rPr>
        <w:t xml:space="preserve">insurance brokerage </w:t>
      </w:r>
      <w:r w:rsidR="005C79AC" w:rsidRPr="005C79AC">
        <w:rPr>
          <w:rFonts w:ascii="Arial" w:hAnsi="Arial" w:cs="Arial"/>
        </w:rPr>
        <w:t>industry to resume performance as soon as practicable under the circumstances.</w:t>
      </w:r>
    </w:p>
    <w:p w14:paraId="6363161B" w14:textId="77777777" w:rsidR="005C79AC" w:rsidRPr="00F42D08" w:rsidRDefault="005C79AC" w:rsidP="00F42D08">
      <w:pPr>
        <w:pStyle w:val="NoSpacing"/>
        <w:jc w:val="both"/>
        <w:rPr>
          <w:rFonts w:ascii="Arial" w:hAnsi="Arial" w:cs="Arial"/>
        </w:rPr>
      </w:pPr>
    </w:p>
    <w:p w14:paraId="10BD3FBB" w14:textId="77777777" w:rsidR="00F42D08" w:rsidRPr="00641B78" w:rsidRDefault="00F42D08" w:rsidP="00641B78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u w:val="single"/>
        </w:rPr>
      </w:pPr>
      <w:r w:rsidRPr="00641B78">
        <w:rPr>
          <w:rFonts w:ascii="Arial" w:hAnsi="Arial" w:cs="Arial"/>
          <w:b/>
          <w:bCs/>
          <w:u w:val="single"/>
        </w:rPr>
        <w:t>Invoicing and payment</w:t>
      </w:r>
    </w:p>
    <w:p w14:paraId="474295AA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60748574" w14:textId="5E5B8C63" w:rsidR="00F42D08" w:rsidRPr="00F42D08" w:rsidRDefault="003976DC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Anika </w:t>
      </w:r>
      <w:r w:rsidR="00F42D08" w:rsidRPr="00F42D08">
        <w:rPr>
          <w:rFonts w:ascii="Arial" w:hAnsi="Arial" w:cs="Arial"/>
        </w:rPr>
        <w:t xml:space="preserve">will </w:t>
      </w:r>
      <w:r w:rsidR="00105F50">
        <w:rPr>
          <w:rFonts w:ascii="Arial" w:hAnsi="Arial" w:cs="Arial"/>
        </w:rPr>
        <w:t xml:space="preserve">issue all </w:t>
      </w:r>
      <w:r w:rsidR="00F42D08" w:rsidRPr="00F42D08">
        <w:rPr>
          <w:rFonts w:ascii="Arial" w:hAnsi="Arial" w:cs="Arial"/>
        </w:rPr>
        <w:t>invoice</w:t>
      </w:r>
      <w:r w:rsidR="00105F50">
        <w:rPr>
          <w:rFonts w:ascii="Arial" w:hAnsi="Arial" w:cs="Arial"/>
        </w:rPr>
        <w:t>s pertaining to this Engagement directly to</w:t>
      </w:r>
      <w:r w:rsidR="00F42D08" w:rsidRPr="00F42D08">
        <w:rPr>
          <w:rFonts w:ascii="Arial" w:hAnsi="Arial" w:cs="Arial"/>
        </w:rPr>
        <w:t xml:space="preserve"> </w:t>
      </w:r>
      <w:r w:rsidR="00F31902" w:rsidRPr="004C0EBA">
        <w:rPr>
          <w:rFonts w:ascii="Arial" w:hAnsi="Arial" w:cs="Arial"/>
        </w:rPr>
        <w:t>&lt;Client’s Name&gt;</w:t>
      </w:r>
      <w:r w:rsidR="00731EDC" w:rsidRPr="004C0EBA">
        <w:rPr>
          <w:rFonts w:ascii="Arial" w:hAnsi="Arial" w:cs="Arial"/>
        </w:rPr>
        <w:t>.</w:t>
      </w:r>
    </w:p>
    <w:p w14:paraId="7130A627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6C601194" w14:textId="298DE496" w:rsidR="00F42D08" w:rsidRPr="00C269AC" w:rsidRDefault="00F42D08" w:rsidP="00641B78">
      <w:pPr>
        <w:pStyle w:val="NoSpacing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 w:themeColor="text1"/>
        </w:rPr>
      </w:pPr>
      <w:r w:rsidRPr="00C269AC">
        <w:rPr>
          <w:rFonts w:ascii="Arial" w:hAnsi="Arial" w:cs="Arial"/>
          <w:color w:val="000000" w:themeColor="text1"/>
        </w:rPr>
        <w:t xml:space="preserve">If </w:t>
      </w:r>
      <w:r w:rsidR="004F7101">
        <w:rPr>
          <w:rFonts w:ascii="Arial" w:hAnsi="Arial" w:cs="Arial"/>
          <w:color w:val="000000" w:themeColor="text1"/>
        </w:rPr>
        <w:t xml:space="preserve">you agree to this Engagement based on the terms and conditions set out herein and in the General Terms of </w:t>
      </w:r>
      <w:r w:rsidR="00552C91" w:rsidRPr="00C269AC">
        <w:rPr>
          <w:rFonts w:ascii="Arial" w:hAnsi="Arial" w:cs="Arial"/>
          <w:color w:val="000000" w:themeColor="text1"/>
        </w:rPr>
        <w:t>Business Agreement</w:t>
      </w:r>
      <w:r w:rsidRPr="00C269AC">
        <w:rPr>
          <w:rFonts w:ascii="Arial" w:hAnsi="Arial" w:cs="Arial"/>
          <w:color w:val="000000" w:themeColor="text1"/>
        </w:rPr>
        <w:t xml:space="preserve">, please have an authorized </w:t>
      </w:r>
      <w:r w:rsidR="00442ADE" w:rsidRPr="00C269AC">
        <w:rPr>
          <w:rFonts w:ascii="Arial" w:hAnsi="Arial" w:cs="Arial"/>
          <w:color w:val="000000" w:themeColor="text1"/>
        </w:rPr>
        <w:t xml:space="preserve">signatory </w:t>
      </w:r>
      <w:r w:rsidRPr="00C269AC">
        <w:rPr>
          <w:rFonts w:ascii="Arial" w:hAnsi="Arial" w:cs="Arial"/>
          <w:color w:val="000000" w:themeColor="text1"/>
        </w:rPr>
        <w:t xml:space="preserve">of </w:t>
      </w:r>
      <w:r w:rsidR="00F31902" w:rsidRPr="004C0EBA">
        <w:rPr>
          <w:rFonts w:ascii="Arial" w:hAnsi="Arial" w:cs="Arial"/>
          <w:color w:val="000000" w:themeColor="text1"/>
        </w:rPr>
        <w:t>&lt;Client’s Name&gt;</w:t>
      </w:r>
      <w:r w:rsidR="00F31902" w:rsidRPr="00C269AC">
        <w:rPr>
          <w:rFonts w:ascii="Arial" w:hAnsi="Arial" w:cs="Arial"/>
          <w:color w:val="000000" w:themeColor="text1"/>
        </w:rPr>
        <w:t xml:space="preserve"> </w:t>
      </w:r>
      <w:r w:rsidR="00731EDC" w:rsidRPr="00C269AC">
        <w:rPr>
          <w:rFonts w:ascii="Arial" w:hAnsi="Arial" w:cs="Arial"/>
          <w:color w:val="000000" w:themeColor="text1"/>
        </w:rPr>
        <w:t xml:space="preserve"> to</w:t>
      </w:r>
      <w:r w:rsidRPr="00C269AC">
        <w:rPr>
          <w:rFonts w:ascii="Arial" w:hAnsi="Arial" w:cs="Arial"/>
          <w:color w:val="000000" w:themeColor="text1"/>
        </w:rPr>
        <w:t xml:space="preserve"> sign and return to us</w:t>
      </w:r>
      <w:r w:rsidR="00442ADE" w:rsidRPr="00C269AC">
        <w:rPr>
          <w:rFonts w:ascii="Arial" w:hAnsi="Arial" w:cs="Arial"/>
          <w:color w:val="000000" w:themeColor="text1"/>
        </w:rPr>
        <w:t xml:space="preserve"> </w:t>
      </w:r>
      <w:r w:rsidR="004F7101">
        <w:rPr>
          <w:rFonts w:ascii="Arial" w:hAnsi="Arial" w:cs="Arial"/>
          <w:color w:val="000000" w:themeColor="text1"/>
        </w:rPr>
        <w:t xml:space="preserve">a </w:t>
      </w:r>
      <w:r w:rsidR="00442ADE" w:rsidRPr="00C269AC">
        <w:rPr>
          <w:rFonts w:ascii="Arial" w:hAnsi="Arial" w:cs="Arial"/>
          <w:color w:val="000000" w:themeColor="text1"/>
        </w:rPr>
        <w:t>signed copy</w:t>
      </w:r>
      <w:r w:rsidR="004F7101">
        <w:rPr>
          <w:rFonts w:ascii="Arial" w:hAnsi="Arial" w:cs="Arial"/>
          <w:color w:val="000000" w:themeColor="text1"/>
        </w:rPr>
        <w:t xml:space="preserve"> of this Statement of Work</w:t>
      </w:r>
      <w:r w:rsidRPr="00C269AC">
        <w:rPr>
          <w:rFonts w:ascii="Arial" w:hAnsi="Arial" w:cs="Arial"/>
          <w:color w:val="000000" w:themeColor="text1"/>
        </w:rPr>
        <w:t xml:space="preserve">.  </w:t>
      </w:r>
      <w:r w:rsidR="00731EDC" w:rsidRPr="00C269AC">
        <w:rPr>
          <w:rFonts w:ascii="Arial" w:hAnsi="Arial" w:cs="Arial"/>
          <w:color w:val="000000" w:themeColor="text1"/>
        </w:rPr>
        <w:t xml:space="preserve">Anika </w:t>
      </w:r>
      <w:r w:rsidRPr="00C269AC">
        <w:rPr>
          <w:rFonts w:ascii="Arial" w:hAnsi="Arial" w:cs="Arial"/>
          <w:color w:val="000000" w:themeColor="text1"/>
        </w:rPr>
        <w:t xml:space="preserve">appreciates the opportunity to be of service to </w:t>
      </w:r>
      <w:r w:rsidR="00F31902" w:rsidRPr="004C0EBA">
        <w:rPr>
          <w:rFonts w:ascii="Arial" w:hAnsi="Arial" w:cs="Arial"/>
          <w:color w:val="000000" w:themeColor="text1"/>
        </w:rPr>
        <w:t>&lt;Client’s Name&gt;</w:t>
      </w:r>
      <w:r w:rsidRPr="004C0EBA">
        <w:rPr>
          <w:rFonts w:ascii="Arial" w:hAnsi="Arial" w:cs="Arial"/>
          <w:color w:val="000000" w:themeColor="text1"/>
        </w:rPr>
        <w:t>.</w:t>
      </w:r>
      <w:r w:rsidRPr="00C269AC">
        <w:rPr>
          <w:rFonts w:ascii="Arial" w:hAnsi="Arial" w:cs="Arial"/>
          <w:color w:val="000000" w:themeColor="text1"/>
        </w:rPr>
        <w:t xml:space="preserve">  Should you have any questions, please </w:t>
      </w:r>
      <w:r w:rsidR="00744C41">
        <w:rPr>
          <w:rFonts w:ascii="Arial" w:hAnsi="Arial" w:cs="Arial"/>
          <w:color w:val="000000" w:themeColor="text1"/>
        </w:rPr>
        <w:t xml:space="preserve">do not hesitate to </w:t>
      </w:r>
      <w:r w:rsidRPr="00C269AC">
        <w:rPr>
          <w:rFonts w:ascii="Arial" w:hAnsi="Arial" w:cs="Arial"/>
          <w:color w:val="000000" w:themeColor="text1"/>
        </w:rPr>
        <w:t xml:space="preserve">contact </w:t>
      </w:r>
      <w:r w:rsidR="00442ADE" w:rsidRPr="00C269AC">
        <w:rPr>
          <w:rFonts w:ascii="Arial" w:hAnsi="Arial" w:cs="Arial"/>
          <w:color w:val="000000" w:themeColor="text1"/>
        </w:rPr>
        <w:t>us</w:t>
      </w:r>
      <w:r w:rsidRPr="00C269AC">
        <w:rPr>
          <w:rFonts w:ascii="Arial" w:hAnsi="Arial" w:cs="Arial"/>
          <w:color w:val="000000" w:themeColor="text1"/>
        </w:rPr>
        <w:t>.</w:t>
      </w:r>
      <w:r w:rsidR="00744C41">
        <w:rPr>
          <w:rFonts w:ascii="Arial" w:hAnsi="Arial" w:cs="Arial"/>
          <w:color w:val="000000" w:themeColor="text1"/>
        </w:rPr>
        <w:t xml:space="preserve"> Thank you. </w:t>
      </w:r>
    </w:p>
    <w:p w14:paraId="5EE758C6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45541873" w14:textId="43872077" w:rsidR="00F42D08" w:rsidRPr="00F42D08" w:rsidRDefault="00744C41" w:rsidP="00F42D0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F42D08" w:rsidRPr="00F42D08">
        <w:rPr>
          <w:rFonts w:ascii="Arial" w:hAnsi="Arial" w:cs="Arial"/>
        </w:rPr>
        <w:t>ind regards,</w:t>
      </w:r>
    </w:p>
    <w:p w14:paraId="463AC440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5787A83C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0A4DEF99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  <w:r w:rsidRPr="00F42D08">
        <w:rPr>
          <w:rFonts w:ascii="Arial" w:hAnsi="Arial" w:cs="Arial"/>
        </w:rPr>
        <w:t xml:space="preserve">Signed by and on behalf of </w:t>
      </w:r>
    </w:p>
    <w:p w14:paraId="35479591" w14:textId="6C459DC3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Anika Insurance Brokers</w:t>
      </w:r>
      <w:r w:rsidRPr="00F42D08">
        <w:rPr>
          <w:rFonts w:ascii="Arial" w:hAnsi="Arial" w:cs="Arial"/>
        </w:rPr>
        <w:t xml:space="preserve"> Sdn. Bhd (</w:t>
      </w:r>
      <w:r>
        <w:rPr>
          <w:rFonts w:ascii="Arial" w:hAnsi="Arial" w:cs="Arial"/>
        </w:rPr>
        <w:t>Anika</w:t>
      </w:r>
      <w:r w:rsidRPr="00F42D08">
        <w:rPr>
          <w:rFonts w:ascii="Arial" w:hAnsi="Arial" w:cs="Arial"/>
        </w:rPr>
        <w:t>)</w:t>
      </w:r>
    </w:p>
    <w:p w14:paraId="1641AD20" w14:textId="77777777" w:rsidR="00F42D08" w:rsidRDefault="00F42D08" w:rsidP="00F42D08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83"/>
        <w:gridCol w:w="7221"/>
      </w:tblGrid>
      <w:tr w:rsidR="00731F82" w14:paraId="122A7EEC" w14:textId="77777777" w:rsidTr="00731F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428C01D" w14:textId="52D6E7EE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5EEDCE" w14:textId="19CB7B26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14:paraId="46D5C670" w14:textId="49ABD932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7BF50133" w14:textId="77777777" w:rsidTr="00731F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353DB1C" w14:textId="3A502B15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NRIC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097D90" w14:textId="2E401555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5E22E696" w14:textId="77777777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4ED8C470" w14:textId="77777777" w:rsidTr="00731F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13BF346" w14:textId="135342F5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06DB6" w14:textId="6B7F1E04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69ADE28A" w14:textId="77777777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25019798" w14:textId="77777777" w:rsidTr="00731F8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CF4E3A3" w14:textId="52657878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 w:rsidRPr="00F42D08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DD416" w14:textId="06AF6BE1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bottom w:val="single" w:sz="4" w:space="0" w:color="auto"/>
              <w:right w:val="nil"/>
            </w:tcBorders>
          </w:tcPr>
          <w:p w14:paraId="384E0AD0" w14:textId="77777777" w:rsidR="00731F82" w:rsidRDefault="00731F82" w:rsidP="00F42D08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152B05FE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23DBC637" w14:textId="77777777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</w:p>
    <w:p w14:paraId="414FEDB1" w14:textId="180E195A" w:rsidR="00F42D08" w:rsidRPr="00F42D08" w:rsidRDefault="00F42D08" w:rsidP="00F42D08">
      <w:pPr>
        <w:pStyle w:val="NoSpacing"/>
        <w:jc w:val="both"/>
        <w:rPr>
          <w:rFonts w:ascii="Arial" w:hAnsi="Arial" w:cs="Arial"/>
        </w:rPr>
      </w:pPr>
      <w:r w:rsidRPr="00F42D08">
        <w:rPr>
          <w:rFonts w:ascii="Arial" w:hAnsi="Arial" w:cs="Arial"/>
        </w:rPr>
        <w:t xml:space="preserve">Accepted and agreed </w:t>
      </w:r>
      <w:r w:rsidR="00157EF1">
        <w:rPr>
          <w:rFonts w:ascii="Arial" w:hAnsi="Arial" w:cs="Arial"/>
        </w:rPr>
        <w:t>by</w:t>
      </w:r>
      <w:r w:rsidRPr="00F42D08">
        <w:rPr>
          <w:rFonts w:ascii="Arial" w:hAnsi="Arial" w:cs="Arial"/>
        </w:rPr>
        <w:t>:</w:t>
      </w:r>
    </w:p>
    <w:p w14:paraId="1F62876A" w14:textId="45ED1D53" w:rsidR="00F42D08" w:rsidRDefault="00F31902" w:rsidP="00F42D08">
      <w:pPr>
        <w:pStyle w:val="NoSpacing"/>
        <w:jc w:val="both"/>
        <w:rPr>
          <w:rFonts w:ascii="Arial" w:hAnsi="Arial" w:cs="Arial"/>
        </w:rPr>
      </w:pPr>
      <w:r w:rsidRPr="00731F82">
        <w:rPr>
          <w:rFonts w:ascii="Arial" w:hAnsi="Arial" w:cs="Arial"/>
        </w:rPr>
        <w:t>&lt;Client’s Name&gt;</w:t>
      </w:r>
      <w:r w:rsidRPr="00F42D08">
        <w:rPr>
          <w:rFonts w:ascii="Arial" w:hAnsi="Arial" w:cs="Arial"/>
        </w:rPr>
        <w:t xml:space="preserve">  </w:t>
      </w:r>
    </w:p>
    <w:p w14:paraId="348AD9E3" w14:textId="77777777" w:rsidR="00F31902" w:rsidRPr="00F42D08" w:rsidRDefault="00F31902" w:rsidP="00F42D08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83"/>
        <w:gridCol w:w="7221"/>
      </w:tblGrid>
      <w:tr w:rsidR="00731F82" w14:paraId="78E777DE" w14:textId="77777777" w:rsidTr="0020218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88E4BAA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F9A481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top w:val="nil"/>
              <w:left w:val="nil"/>
              <w:right w:val="nil"/>
            </w:tcBorders>
          </w:tcPr>
          <w:p w14:paraId="3528CA59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54717824" w14:textId="77777777" w:rsidTr="0020218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2EE810C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NRIC 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99DDF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218A5F29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21462DF4" w14:textId="77777777" w:rsidTr="0020218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01AEB86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CA437A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right w:val="nil"/>
            </w:tcBorders>
          </w:tcPr>
          <w:p w14:paraId="418B8A51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731F82" w14:paraId="7ECD1588" w14:textId="77777777" w:rsidTr="0020218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C5DAC08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 w:rsidRPr="00F42D08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9D5FD5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7433" w:type="dxa"/>
            <w:tcBorders>
              <w:left w:val="nil"/>
              <w:bottom w:val="single" w:sz="4" w:space="0" w:color="auto"/>
              <w:right w:val="nil"/>
            </w:tcBorders>
          </w:tcPr>
          <w:p w14:paraId="40725FAC" w14:textId="77777777" w:rsidR="00731F82" w:rsidRDefault="00731F82" w:rsidP="00202187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3AE83935" w14:textId="508619FF" w:rsidR="00157EF1" w:rsidRDefault="00157EF1" w:rsidP="00157EF1">
      <w:pPr>
        <w:pStyle w:val="NoSpacing"/>
        <w:jc w:val="both"/>
        <w:rPr>
          <w:rFonts w:ascii="Arial" w:hAnsi="Arial" w:cs="Arial"/>
        </w:rPr>
      </w:pPr>
    </w:p>
    <w:p w14:paraId="43A02B3F" w14:textId="77777777" w:rsidR="0062410D" w:rsidRDefault="0062410D" w:rsidP="00157EF1">
      <w:pPr>
        <w:pStyle w:val="NoSpacing"/>
        <w:jc w:val="both"/>
        <w:rPr>
          <w:rFonts w:ascii="Arial" w:hAnsi="Arial" w:cs="Arial"/>
        </w:rPr>
      </w:pPr>
    </w:p>
    <w:p w14:paraId="1CC0109F" w14:textId="77777777" w:rsidR="00731F82" w:rsidRDefault="00731F82" w:rsidP="00F42D08">
      <w:pPr>
        <w:tabs>
          <w:tab w:val="left" w:pos="720"/>
        </w:tabs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14:paraId="0457A41A" w14:textId="4050DCC9" w:rsidR="00F42D08" w:rsidRPr="003976DC" w:rsidRDefault="00F42D08" w:rsidP="00F42D08">
      <w:pPr>
        <w:tabs>
          <w:tab w:val="left" w:pos="720"/>
        </w:tabs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976DC">
        <w:rPr>
          <w:rFonts w:ascii="Arial" w:hAnsi="Arial" w:cs="Arial"/>
          <w:b/>
          <w:spacing w:val="-2"/>
          <w:sz w:val="24"/>
          <w:szCs w:val="24"/>
        </w:rPr>
        <w:t>A</w:t>
      </w:r>
      <w:r w:rsidR="00DF3087">
        <w:rPr>
          <w:rFonts w:ascii="Arial" w:hAnsi="Arial" w:cs="Arial"/>
          <w:b/>
          <w:spacing w:val="-2"/>
          <w:sz w:val="24"/>
          <w:szCs w:val="24"/>
        </w:rPr>
        <w:t>ppendix</w:t>
      </w:r>
      <w:r w:rsidRPr="003976DC">
        <w:rPr>
          <w:rFonts w:ascii="Arial" w:hAnsi="Arial" w:cs="Arial"/>
          <w:b/>
          <w:spacing w:val="-2"/>
          <w:sz w:val="24"/>
          <w:szCs w:val="24"/>
        </w:rPr>
        <w:t xml:space="preserve"> 1</w:t>
      </w:r>
    </w:p>
    <w:p w14:paraId="6CA5D927" w14:textId="4271019C" w:rsidR="00F42D08" w:rsidRPr="003976DC" w:rsidRDefault="00F42D08" w:rsidP="00F42D08">
      <w:pPr>
        <w:tabs>
          <w:tab w:val="left" w:pos="720"/>
        </w:tabs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976DC">
        <w:rPr>
          <w:rFonts w:ascii="Arial" w:hAnsi="Arial" w:cs="Arial"/>
          <w:b/>
          <w:spacing w:val="-2"/>
          <w:sz w:val="24"/>
          <w:szCs w:val="24"/>
        </w:rPr>
        <w:t>Scope of Services</w:t>
      </w:r>
    </w:p>
    <w:p w14:paraId="40EEAEFA" w14:textId="77777777" w:rsidR="003976DC" w:rsidRDefault="003976DC" w:rsidP="00F42D08">
      <w:pPr>
        <w:spacing w:before="240" w:after="240"/>
        <w:rPr>
          <w:rFonts w:ascii="Arial" w:hAnsi="Arial" w:cs="Arial"/>
          <w:sz w:val="22"/>
          <w:szCs w:val="22"/>
          <w:lang w:eastAsia="en-US"/>
        </w:rPr>
      </w:pPr>
    </w:p>
    <w:p w14:paraId="31889B04" w14:textId="7BC4030D" w:rsidR="00F42D08" w:rsidRPr="003976DC" w:rsidRDefault="00DD23BB" w:rsidP="005D5E4B">
      <w:p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The scope of services provided by Anika under this Engagement are as follows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>:</w:t>
      </w:r>
    </w:p>
    <w:p w14:paraId="4DA737FE" w14:textId="4CB96D54" w:rsidR="00F42D08" w:rsidRPr="003976DC" w:rsidRDefault="00F42D08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976DC">
        <w:rPr>
          <w:rFonts w:ascii="Arial" w:eastAsia="MS Mincho" w:hAnsi="Arial" w:cs="Arial"/>
          <w:sz w:val="22"/>
          <w:szCs w:val="22"/>
        </w:rPr>
        <w:t xml:space="preserve">Issuing </w:t>
      </w:r>
      <w:r w:rsidR="003B124C">
        <w:rPr>
          <w:rFonts w:ascii="Arial" w:eastAsia="MS Mincho" w:hAnsi="Arial" w:cs="Arial"/>
          <w:sz w:val="22"/>
          <w:szCs w:val="22"/>
        </w:rPr>
        <w:t xml:space="preserve">Requests </w:t>
      </w:r>
      <w:proofErr w:type="gramStart"/>
      <w:r w:rsidR="003B124C">
        <w:rPr>
          <w:rFonts w:ascii="Arial" w:eastAsia="MS Mincho" w:hAnsi="Arial" w:cs="Arial"/>
          <w:sz w:val="22"/>
          <w:szCs w:val="22"/>
        </w:rPr>
        <w:t>For</w:t>
      </w:r>
      <w:proofErr w:type="gramEnd"/>
      <w:r w:rsidR="003B124C">
        <w:rPr>
          <w:rFonts w:ascii="Arial" w:eastAsia="MS Mincho" w:hAnsi="Arial" w:cs="Arial"/>
          <w:sz w:val="22"/>
          <w:szCs w:val="22"/>
        </w:rPr>
        <w:t xml:space="preserve"> Proposals </w:t>
      </w:r>
      <w:r w:rsidRPr="003976DC">
        <w:rPr>
          <w:rFonts w:ascii="Arial" w:eastAsia="MS Mincho" w:hAnsi="Arial" w:cs="Arial"/>
          <w:sz w:val="22"/>
          <w:szCs w:val="22"/>
        </w:rPr>
        <w:t xml:space="preserve">to up to three insurers (including the incumbent and likely incorporating </w:t>
      </w:r>
      <w:r w:rsidR="003976DC" w:rsidRPr="003976DC">
        <w:rPr>
          <w:rFonts w:ascii="Arial" w:eastAsia="MS Mincho" w:hAnsi="Arial" w:cs="Arial"/>
          <w:sz w:val="22"/>
          <w:szCs w:val="22"/>
        </w:rPr>
        <w:t>providers in the market</w:t>
      </w:r>
      <w:r w:rsidRPr="003976DC">
        <w:rPr>
          <w:rFonts w:ascii="Arial" w:eastAsia="MS Mincho" w:hAnsi="Arial" w:cs="Arial"/>
          <w:sz w:val="22"/>
          <w:szCs w:val="22"/>
        </w:rPr>
        <w:t>)</w:t>
      </w:r>
      <w:r w:rsidR="00327253">
        <w:rPr>
          <w:rFonts w:ascii="Arial" w:eastAsia="MS Mincho" w:hAnsi="Arial" w:cs="Arial"/>
          <w:sz w:val="22"/>
          <w:szCs w:val="22"/>
        </w:rPr>
        <w:t>.</w:t>
      </w:r>
      <w:r w:rsidRPr="003976DC">
        <w:rPr>
          <w:rFonts w:ascii="Arial" w:eastAsia="MS Mincho" w:hAnsi="Arial" w:cs="Arial"/>
          <w:sz w:val="22"/>
          <w:szCs w:val="22"/>
        </w:rPr>
        <w:t xml:space="preserve"> Periodic competitive bidding of contracts (typically once every three years unless material changes in the marketplace warrants a more frequent review). A standard renewal report will be provided to ensure all approval questions are addressed during the marketing process to avoid the need for multiple quotation requests.</w:t>
      </w:r>
    </w:p>
    <w:p w14:paraId="231BE890" w14:textId="5EB6D575" w:rsidR="00F42D08" w:rsidRPr="003976DC" w:rsidRDefault="00F42D08" w:rsidP="005D5E4B">
      <w:pPr>
        <w:numPr>
          <w:ilvl w:val="0"/>
          <w:numId w:val="2"/>
        </w:numPr>
        <w:spacing w:before="120" w:after="2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3976DC">
        <w:rPr>
          <w:rFonts w:ascii="Arial" w:eastAsia="MS Mincho" w:hAnsi="Arial" w:cs="Arial"/>
          <w:sz w:val="22"/>
          <w:szCs w:val="22"/>
        </w:rPr>
        <w:t>Placement of coverage</w:t>
      </w:r>
    </w:p>
    <w:p w14:paraId="512BE09D" w14:textId="29AC65CB" w:rsidR="00F42D08" w:rsidRPr="003976DC" w:rsidRDefault="003976DC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976DC">
        <w:rPr>
          <w:rFonts w:ascii="Arial" w:hAnsi="Arial" w:cs="Arial"/>
          <w:sz w:val="22"/>
          <w:szCs w:val="22"/>
          <w:lang w:eastAsia="en-US"/>
        </w:rPr>
        <w:t>R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enewal and claims reporting using </w:t>
      </w:r>
      <w:r w:rsidRPr="003976DC">
        <w:rPr>
          <w:rFonts w:ascii="Arial" w:hAnsi="Arial" w:cs="Arial"/>
          <w:sz w:val="22"/>
          <w:szCs w:val="22"/>
          <w:lang w:eastAsia="en-US"/>
        </w:rPr>
        <w:t>Anika’s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 standard template </w:t>
      </w:r>
      <w:r w:rsidR="003B124C">
        <w:rPr>
          <w:rFonts w:ascii="Arial" w:hAnsi="Arial" w:cs="Arial"/>
          <w:sz w:val="22"/>
          <w:szCs w:val="22"/>
          <w:lang w:eastAsia="en-US"/>
        </w:rPr>
        <w:t xml:space="preserve">in respect of, among others: 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premium and </w:t>
      </w:r>
      <w:r w:rsidR="00F42D08" w:rsidRPr="00731F82">
        <w:rPr>
          <w:rFonts w:ascii="Arial" w:hAnsi="Arial" w:cs="Arial"/>
          <w:sz w:val="22"/>
          <w:szCs w:val="22"/>
          <w:lang w:eastAsia="en-US"/>
        </w:rPr>
        <w:t>claim (if available) information</w:t>
      </w:r>
      <w:r w:rsidR="00F65557" w:rsidRPr="00731F82">
        <w:rPr>
          <w:rFonts w:ascii="Arial" w:hAnsi="Arial" w:cs="Arial"/>
          <w:sz w:val="22"/>
          <w:szCs w:val="22"/>
          <w:lang w:eastAsia="en-US"/>
        </w:rPr>
        <w:t xml:space="preserve">; </w:t>
      </w:r>
      <w:r w:rsidR="00F42D08" w:rsidRPr="00731F82">
        <w:rPr>
          <w:rFonts w:ascii="Arial" w:hAnsi="Arial" w:cs="Arial"/>
          <w:sz w:val="22"/>
          <w:szCs w:val="22"/>
          <w:lang w:eastAsia="en-US"/>
        </w:rPr>
        <w:t>plan utilization analysis (if available</w:t>
      </w:r>
      <w:r w:rsidR="00F65557" w:rsidRPr="00731F82">
        <w:rPr>
          <w:rFonts w:ascii="Arial" w:hAnsi="Arial" w:cs="Arial"/>
          <w:sz w:val="22"/>
          <w:szCs w:val="22"/>
          <w:lang w:eastAsia="en-US"/>
        </w:rPr>
        <w:t xml:space="preserve">); and </w:t>
      </w:r>
      <w:r w:rsidR="00F42D08" w:rsidRPr="00731F82">
        <w:rPr>
          <w:rFonts w:ascii="Arial" w:hAnsi="Arial" w:cs="Arial"/>
          <w:sz w:val="22"/>
          <w:szCs w:val="22"/>
          <w:lang w:eastAsia="en-US"/>
        </w:rPr>
        <w:t xml:space="preserve">assessment of </w:t>
      </w:r>
      <w:r w:rsidR="00F31902" w:rsidRPr="00731F82">
        <w:rPr>
          <w:rFonts w:ascii="Arial" w:hAnsi="Arial" w:cs="Arial"/>
          <w:sz w:val="22"/>
          <w:szCs w:val="22"/>
        </w:rPr>
        <w:t>&lt;Client’s Name&gt;</w:t>
      </w:r>
      <w:r w:rsidR="00F31902" w:rsidRPr="00F31902">
        <w:rPr>
          <w:rFonts w:ascii="Arial" w:hAnsi="Arial" w:cs="Arial"/>
          <w:sz w:val="22"/>
          <w:szCs w:val="22"/>
        </w:rPr>
        <w:t xml:space="preserve"> </w:t>
      </w:r>
      <w:r w:rsidRPr="00F31902">
        <w:rPr>
          <w:rFonts w:ascii="Arial" w:hAnsi="Arial" w:cs="Arial"/>
          <w:sz w:val="22"/>
          <w:szCs w:val="22"/>
          <w:lang w:eastAsia="en-US"/>
        </w:rPr>
        <w:t>’s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 plan design alignments to general market, key market trends and regulatory updates impacting </w:t>
      </w:r>
      <w:r w:rsidR="00F31902" w:rsidRPr="00731F82">
        <w:rPr>
          <w:rFonts w:ascii="Arial" w:hAnsi="Arial" w:cs="Arial"/>
          <w:sz w:val="22"/>
          <w:szCs w:val="22"/>
        </w:rPr>
        <w:t>&lt;Client’s Name&gt;</w:t>
      </w:r>
      <w:r w:rsidRPr="003976DC">
        <w:rPr>
          <w:rFonts w:ascii="Arial" w:hAnsi="Arial" w:cs="Arial"/>
          <w:sz w:val="22"/>
          <w:szCs w:val="22"/>
          <w:lang w:eastAsia="en-US"/>
        </w:rPr>
        <w:t>’s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 plans</w:t>
      </w:r>
    </w:p>
    <w:p w14:paraId="1B54C67F" w14:textId="2EBA3D37" w:rsidR="00F42D08" w:rsidRPr="003976DC" w:rsidRDefault="00F42D08" w:rsidP="005D5E4B">
      <w:pPr>
        <w:numPr>
          <w:ilvl w:val="0"/>
          <w:numId w:val="2"/>
        </w:numPr>
        <w:spacing w:before="120" w:after="2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3976DC">
        <w:rPr>
          <w:rFonts w:ascii="Arial" w:eastAsia="MS Mincho" w:hAnsi="Arial" w:cs="Arial"/>
          <w:sz w:val="22"/>
          <w:szCs w:val="22"/>
        </w:rPr>
        <w:t>Basic employee communications</w:t>
      </w:r>
    </w:p>
    <w:p w14:paraId="1E4FC4D0" w14:textId="2E1A0FD1" w:rsidR="00F42D08" w:rsidRPr="003976DC" w:rsidRDefault="00C1394E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Account</w:t>
      </w:r>
      <w:r w:rsidR="00F42D08" w:rsidRPr="003976DC">
        <w:rPr>
          <w:rFonts w:ascii="Arial" w:hAnsi="Arial" w:cs="Arial"/>
          <w:sz w:val="22"/>
          <w:szCs w:val="22"/>
          <w:lang w:eastAsia="en-US"/>
        </w:rPr>
        <w:t xml:space="preserve"> management (i.e., claims reporting, managements and administration between employee and insurers)</w:t>
      </w:r>
    </w:p>
    <w:p w14:paraId="2D563189" w14:textId="77777777" w:rsidR="00DD23BB" w:rsidRDefault="00F42D08" w:rsidP="00DD23BB">
      <w:pPr>
        <w:numPr>
          <w:ilvl w:val="0"/>
          <w:numId w:val="2"/>
        </w:numPr>
        <w:spacing w:before="120" w:after="2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3976DC">
        <w:rPr>
          <w:rFonts w:ascii="Arial" w:eastAsia="MS Mincho" w:hAnsi="Arial" w:cs="Arial"/>
          <w:sz w:val="22"/>
          <w:szCs w:val="22"/>
        </w:rPr>
        <w:t>Assistance with disputed claims/claims advocacy</w:t>
      </w:r>
    </w:p>
    <w:p w14:paraId="7C04E16F" w14:textId="77777777" w:rsidR="00DD23BB" w:rsidRDefault="00DD23BB" w:rsidP="00DD23BB">
      <w:pPr>
        <w:spacing w:before="120" w:after="20"/>
        <w:ind w:left="360"/>
        <w:contextualSpacing/>
        <w:jc w:val="both"/>
        <w:rPr>
          <w:rFonts w:ascii="Arial" w:eastAsia="MS Mincho" w:hAnsi="Arial" w:cs="Arial"/>
          <w:sz w:val="22"/>
          <w:szCs w:val="22"/>
        </w:rPr>
      </w:pPr>
    </w:p>
    <w:p w14:paraId="6D94C874" w14:textId="1154C48C" w:rsidR="00F42D08" w:rsidRPr="003976DC" w:rsidRDefault="00F42D08" w:rsidP="005D5E4B">
      <w:pPr>
        <w:numPr>
          <w:ilvl w:val="0"/>
          <w:numId w:val="2"/>
        </w:numPr>
        <w:spacing w:before="120" w:after="20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3976DC">
        <w:rPr>
          <w:rFonts w:ascii="Arial" w:eastAsia="MS Mincho" w:hAnsi="Arial" w:cs="Arial"/>
          <w:sz w:val="22"/>
          <w:szCs w:val="22"/>
        </w:rPr>
        <w:t>Cost control suggestions</w:t>
      </w:r>
    </w:p>
    <w:p w14:paraId="7FDAED44" w14:textId="77777777" w:rsidR="00F42D08" w:rsidRPr="003976DC" w:rsidRDefault="00F42D08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976DC">
        <w:rPr>
          <w:rFonts w:ascii="Arial" w:hAnsi="Arial" w:cs="Arial"/>
          <w:sz w:val="22"/>
          <w:szCs w:val="22"/>
          <w:lang w:eastAsia="en-US"/>
        </w:rPr>
        <w:t xml:space="preserve">Monthly reconciliation for carrier invoices against enrollment data </w:t>
      </w:r>
    </w:p>
    <w:p w14:paraId="0CCD55E6" w14:textId="77777777" w:rsidR="00F42D08" w:rsidRPr="003976DC" w:rsidRDefault="00F42D08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3976DC">
        <w:rPr>
          <w:rFonts w:ascii="Arial" w:hAnsi="Arial" w:cs="Arial"/>
          <w:sz w:val="22"/>
          <w:szCs w:val="22"/>
          <w:lang w:eastAsia="en-US"/>
        </w:rPr>
        <w:t xml:space="preserve">Member inquiry support – Day-to-day services and issue resolution and support for employee membership questions </w:t>
      </w:r>
    </w:p>
    <w:p w14:paraId="3C650656" w14:textId="6ACD7F12" w:rsidR="00F42D08" w:rsidRPr="00F31902" w:rsidRDefault="00F42D08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F31902">
        <w:rPr>
          <w:rFonts w:ascii="Arial" w:hAnsi="Arial" w:cs="Arial"/>
          <w:sz w:val="22"/>
          <w:szCs w:val="22"/>
          <w:lang w:eastAsia="en-US"/>
        </w:rPr>
        <w:t xml:space="preserve">Legislative monitoring specific </w:t>
      </w:r>
      <w:r w:rsidRPr="00731F82">
        <w:rPr>
          <w:rFonts w:ascii="Arial" w:hAnsi="Arial" w:cs="Arial"/>
          <w:sz w:val="22"/>
          <w:szCs w:val="22"/>
          <w:lang w:eastAsia="en-US"/>
        </w:rPr>
        <w:t xml:space="preserve">to </w:t>
      </w:r>
      <w:r w:rsidR="00F31902" w:rsidRPr="00731F82">
        <w:rPr>
          <w:rFonts w:ascii="Arial" w:hAnsi="Arial" w:cs="Arial"/>
          <w:sz w:val="22"/>
          <w:szCs w:val="22"/>
        </w:rPr>
        <w:t>&lt;Client’s Name&gt;</w:t>
      </w:r>
      <w:r w:rsidR="003976DC" w:rsidRPr="00F31902">
        <w:rPr>
          <w:rFonts w:ascii="Arial" w:hAnsi="Arial" w:cs="Arial"/>
          <w:sz w:val="22"/>
          <w:szCs w:val="22"/>
          <w:lang w:eastAsia="en-US"/>
        </w:rPr>
        <w:t>’s</w:t>
      </w:r>
      <w:r w:rsidRPr="00F31902">
        <w:rPr>
          <w:rFonts w:ascii="Arial" w:hAnsi="Arial" w:cs="Arial"/>
          <w:sz w:val="22"/>
          <w:szCs w:val="22"/>
          <w:lang w:eastAsia="en-US"/>
        </w:rPr>
        <w:t xml:space="preserve"> programs</w:t>
      </w:r>
    </w:p>
    <w:p w14:paraId="2E1CC851" w14:textId="5321D956" w:rsidR="008A4CAE" w:rsidRPr="00F31902" w:rsidRDefault="008A4CAE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F31902">
        <w:rPr>
          <w:rFonts w:ascii="Arial" w:hAnsi="Arial" w:cs="Arial"/>
          <w:sz w:val="22"/>
          <w:szCs w:val="22"/>
          <w:lang w:eastAsia="en-US"/>
        </w:rPr>
        <w:t xml:space="preserve">Quarterly reports of claim listing and employee listing update. </w:t>
      </w:r>
    </w:p>
    <w:p w14:paraId="549B8A96" w14:textId="602A2131" w:rsidR="008A4CAE" w:rsidRPr="00F31902" w:rsidRDefault="008A4CAE" w:rsidP="005D5E4B">
      <w:pPr>
        <w:numPr>
          <w:ilvl w:val="0"/>
          <w:numId w:val="2"/>
        </w:numPr>
        <w:spacing w:before="240" w:after="240"/>
        <w:jc w:val="both"/>
        <w:rPr>
          <w:rFonts w:ascii="Arial" w:hAnsi="Arial" w:cs="Arial"/>
          <w:sz w:val="22"/>
          <w:szCs w:val="22"/>
          <w:lang w:eastAsia="en-US"/>
        </w:rPr>
      </w:pPr>
      <w:r w:rsidRPr="00F31902">
        <w:rPr>
          <w:rFonts w:ascii="Arial" w:hAnsi="Arial" w:cs="Arial"/>
          <w:sz w:val="22"/>
          <w:szCs w:val="22"/>
          <w:lang w:eastAsia="en-US"/>
        </w:rPr>
        <w:t>Quarterly employee briefing (2 sessions)</w:t>
      </w:r>
    </w:p>
    <w:p w14:paraId="0AB0EA69" w14:textId="77777777" w:rsidR="00F42D08" w:rsidRPr="003976DC" w:rsidRDefault="00F42D08" w:rsidP="00F42D08">
      <w:pPr>
        <w:spacing w:before="120" w:after="20"/>
        <w:contextualSpacing/>
        <w:rPr>
          <w:rFonts w:ascii="Arial" w:hAnsi="Arial" w:cs="Arial"/>
          <w:sz w:val="22"/>
          <w:szCs w:val="22"/>
        </w:rPr>
      </w:pPr>
    </w:p>
    <w:p w14:paraId="3159C9F3" w14:textId="77777777" w:rsidR="00B72112" w:rsidRPr="00F42D08" w:rsidRDefault="00B72112">
      <w:pPr>
        <w:rPr>
          <w:rFonts w:ascii="Arial" w:hAnsi="Arial" w:cs="Arial"/>
          <w:sz w:val="22"/>
          <w:szCs w:val="22"/>
        </w:rPr>
      </w:pPr>
    </w:p>
    <w:sectPr w:rsidR="00B72112" w:rsidRPr="00F42D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EF79" w14:textId="77777777" w:rsidR="00590D15" w:rsidRDefault="00590D15">
      <w:r>
        <w:separator/>
      </w:r>
    </w:p>
  </w:endnote>
  <w:endnote w:type="continuationSeparator" w:id="0">
    <w:p w14:paraId="79CEEE15" w14:textId="77777777" w:rsidR="00590D15" w:rsidRDefault="0059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9260" w14:textId="77777777" w:rsidR="00F00F56" w:rsidRDefault="00F00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1463844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12F2A" w14:textId="1F4CFA58" w:rsidR="003C5659" w:rsidRPr="003C5659" w:rsidRDefault="003C5659">
        <w:pPr>
          <w:pStyle w:val="Footer"/>
          <w:jc w:val="center"/>
          <w:rPr>
            <w:rFonts w:asciiTheme="minorHAnsi" w:hAnsiTheme="minorHAnsi" w:cstheme="minorHAnsi"/>
            <w:sz w:val="18"/>
          </w:rPr>
        </w:pPr>
        <w:r w:rsidRPr="003C5659">
          <w:rPr>
            <w:rFonts w:asciiTheme="minorHAnsi" w:hAnsiTheme="minorHAnsi" w:cstheme="minorHAnsi"/>
            <w:sz w:val="18"/>
          </w:rPr>
          <w:fldChar w:fldCharType="begin"/>
        </w:r>
        <w:r w:rsidRPr="003C5659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3C5659">
          <w:rPr>
            <w:rFonts w:asciiTheme="minorHAnsi" w:hAnsiTheme="minorHAnsi" w:cstheme="minorHAnsi"/>
            <w:sz w:val="18"/>
          </w:rPr>
          <w:fldChar w:fldCharType="separate"/>
        </w:r>
        <w:r w:rsidR="00C60158">
          <w:rPr>
            <w:rFonts w:asciiTheme="minorHAnsi" w:hAnsiTheme="minorHAnsi" w:cstheme="minorHAnsi"/>
            <w:noProof/>
            <w:sz w:val="18"/>
          </w:rPr>
          <w:t>3</w:t>
        </w:r>
        <w:r w:rsidRPr="003C5659">
          <w:rPr>
            <w:rFonts w:asciiTheme="minorHAnsi" w:hAnsiTheme="minorHAnsi" w:cstheme="minorHAnsi"/>
            <w:noProof/>
            <w:sz w:val="18"/>
          </w:rPr>
          <w:fldChar w:fldCharType="end"/>
        </w:r>
      </w:p>
    </w:sdtContent>
  </w:sdt>
  <w:p w14:paraId="0C371C75" w14:textId="653CE423" w:rsidR="003C5659" w:rsidRPr="003C5659" w:rsidRDefault="00C60158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F-BRK/0</w:t>
    </w:r>
    <w:r w:rsidR="003C5659" w:rsidRPr="003C5659">
      <w:rPr>
        <w:rFonts w:asciiTheme="minorHAnsi" w:hAnsiTheme="minorHAnsi" w:cstheme="minorHAnsi"/>
        <w:sz w:val="18"/>
      </w:rPr>
      <w:t>37</w:t>
    </w:r>
    <w:r w:rsidR="003C5659" w:rsidRPr="003C5659">
      <w:rPr>
        <w:rFonts w:asciiTheme="minorHAnsi" w:hAnsiTheme="minorHAnsi" w:cstheme="minorHAnsi"/>
        <w:sz w:val="18"/>
      </w:rPr>
      <w:tab/>
    </w:r>
    <w:r w:rsidR="003C5659">
      <w:rPr>
        <w:rFonts w:asciiTheme="minorHAnsi" w:hAnsiTheme="minorHAnsi" w:cstheme="minorHAnsi"/>
        <w:sz w:val="18"/>
      </w:rPr>
      <w:t xml:space="preserve">                                                                                                                                                               </w:t>
    </w:r>
    <w:r w:rsidR="0034597D">
      <w:rPr>
        <w:rFonts w:asciiTheme="minorHAnsi" w:hAnsiTheme="minorHAnsi" w:cstheme="minorHAnsi"/>
        <w:sz w:val="18"/>
      </w:rPr>
      <w:t xml:space="preserve">                                </w:t>
    </w:r>
    <w:r w:rsidR="003C5659" w:rsidRPr="003C5659">
      <w:rPr>
        <w:rFonts w:asciiTheme="minorHAnsi" w:hAnsiTheme="minorHAnsi" w:cstheme="minorHAnsi"/>
        <w:sz w:val="18"/>
      </w:rPr>
      <w:t>Rev: 0</w:t>
    </w:r>
  </w:p>
  <w:p w14:paraId="11B133D8" w14:textId="6C6525A3" w:rsidR="003C5659" w:rsidRPr="003C5659" w:rsidRDefault="003C5659">
    <w:pPr>
      <w:pStyle w:val="Footer"/>
      <w:rPr>
        <w:rFonts w:asciiTheme="minorHAnsi" w:hAnsiTheme="minorHAnsi" w:cstheme="minorHAnsi"/>
        <w:sz w:val="18"/>
      </w:rPr>
    </w:pPr>
    <w:r w:rsidRPr="003C5659">
      <w:rPr>
        <w:rFonts w:asciiTheme="minorHAnsi" w:hAnsiTheme="minorHAnsi" w:cstheme="minorHAnsi"/>
        <w:sz w:val="18"/>
      </w:rPr>
      <w:tab/>
    </w:r>
    <w:r w:rsidRPr="003C5659">
      <w:rPr>
        <w:rFonts w:asciiTheme="minorHAnsi" w:hAnsiTheme="minorHAnsi" w:cstheme="minorHAnsi"/>
        <w:sz w:val="18"/>
      </w:rPr>
      <w:tab/>
      <w:t>(Updated: 05/2022)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5505" w14:textId="77777777" w:rsidR="00F00F56" w:rsidRDefault="00F00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9A57" w14:textId="77777777" w:rsidR="00590D15" w:rsidRDefault="00590D15">
      <w:r>
        <w:separator/>
      </w:r>
    </w:p>
  </w:footnote>
  <w:footnote w:type="continuationSeparator" w:id="0">
    <w:p w14:paraId="4D478B64" w14:textId="77777777" w:rsidR="00590D15" w:rsidRDefault="0059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61AE" w14:textId="0E2C933A" w:rsidR="002F4148" w:rsidRDefault="002F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1B86" w14:textId="43C3B241" w:rsidR="00CB2DEF" w:rsidRPr="00CB2DEF" w:rsidRDefault="00F00F56" w:rsidP="00F00F56">
    <w:pPr>
      <w:pStyle w:val="Header"/>
      <w:tabs>
        <w:tab w:val="left" w:pos="2160"/>
        <w:tab w:val="center" w:pos="4513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 w:rsidR="00663876">
      <w:rPr>
        <w:rFonts w:ascii="Times New Roman"/>
        <w:noProof/>
        <w:lang w:val="en-MY" w:eastAsia="en-MY"/>
      </w:rPr>
      <w:drawing>
        <wp:inline distT="0" distB="0" distL="0" distR="0" wp14:anchorId="7547B899" wp14:editId="58AC7EF2">
          <wp:extent cx="1799863" cy="1272502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791" cy="128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CAE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4E972C6" wp14:editId="7B8B2C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" name="MSIPCM599f4ae392f436a265048a6a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EFF31" w14:textId="68ECC797" w:rsidR="008A4CAE" w:rsidRPr="008A4CAE" w:rsidRDefault="008A4CAE" w:rsidP="008A4CAE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972C6" id="_x0000_t202" coordsize="21600,21600" o:spt="202" path="m,l,21600r21600,l21600,xe">
              <v:stroke joinstyle="miter"/>
              <v:path gradientshapeok="t" o:connecttype="rect"/>
            </v:shapetype>
            <v:shape id="MSIPCM599f4ae392f436a265048a6a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HGGAIAACU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" o:allowincell="f" filled="f" stroked="f" strokeweight=".5pt">
              <v:textbox inset=",0,20pt,0">
                <w:txbxContent>
                  <w:p w14:paraId="045EFF31" w14:textId="68ECC797" w:rsidR="008A4CAE" w:rsidRPr="008A4CAE" w:rsidRDefault="008A4CAE" w:rsidP="008A4CAE">
                    <w:pPr>
                      <w:jc w:val="right"/>
                      <w:rPr>
                        <w:rFonts w:ascii="Arial Black" w:hAnsi="Arial Black"/>
                        <w:color w:val="4099D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6D5B" w14:textId="79821355" w:rsidR="002F4148" w:rsidRDefault="002F4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44D0"/>
    <w:multiLevelType w:val="hybridMultilevel"/>
    <w:tmpl w:val="832E0B48"/>
    <w:lvl w:ilvl="0" w:tplc="0896E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063AA"/>
    <w:multiLevelType w:val="hybridMultilevel"/>
    <w:tmpl w:val="319EF0B6"/>
    <w:lvl w:ilvl="0" w:tplc="8968C8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30B9D"/>
    <w:multiLevelType w:val="hybridMultilevel"/>
    <w:tmpl w:val="875437D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3633"/>
    <w:multiLevelType w:val="hybridMultilevel"/>
    <w:tmpl w:val="EE04A6C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637DA"/>
    <w:multiLevelType w:val="hybridMultilevel"/>
    <w:tmpl w:val="DA0ED274"/>
    <w:lvl w:ilvl="0" w:tplc="9656C9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2044">
    <w:abstractNumId w:val="2"/>
  </w:num>
  <w:num w:numId="2" w16cid:durableId="2125685644">
    <w:abstractNumId w:val="3"/>
  </w:num>
  <w:num w:numId="3" w16cid:durableId="1090273799">
    <w:abstractNumId w:val="0"/>
  </w:num>
  <w:num w:numId="4" w16cid:durableId="501513532">
    <w:abstractNumId w:val="1"/>
  </w:num>
  <w:num w:numId="5" w16cid:durableId="969284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8"/>
    <w:rsid w:val="00007BF9"/>
    <w:rsid w:val="00027A50"/>
    <w:rsid w:val="000579B5"/>
    <w:rsid w:val="00065755"/>
    <w:rsid w:val="000B2AE2"/>
    <w:rsid w:val="000C5A57"/>
    <w:rsid w:val="000C6460"/>
    <w:rsid w:val="000F2403"/>
    <w:rsid w:val="00105F50"/>
    <w:rsid w:val="001447DB"/>
    <w:rsid w:val="00157EF1"/>
    <w:rsid w:val="00161563"/>
    <w:rsid w:val="00212FF4"/>
    <w:rsid w:val="0026351C"/>
    <w:rsid w:val="0029635C"/>
    <w:rsid w:val="002A09F2"/>
    <w:rsid w:val="002F4148"/>
    <w:rsid w:val="00303756"/>
    <w:rsid w:val="003222A4"/>
    <w:rsid w:val="00327253"/>
    <w:rsid w:val="0034597D"/>
    <w:rsid w:val="00365FBC"/>
    <w:rsid w:val="00372AC9"/>
    <w:rsid w:val="0038664C"/>
    <w:rsid w:val="003976DC"/>
    <w:rsid w:val="003B124C"/>
    <w:rsid w:val="003B13A1"/>
    <w:rsid w:val="003C5659"/>
    <w:rsid w:val="00442ADE"/>
    <w:rsid w:val="00445ADF"/>
    <w:rsid w:val="00473BC6"/>
    <w:rsid w:val="00494AC0"/>
    <w:rsid w:val="004C0EBA"/>
    <w:rsid w:val="004F7101"/>
    <w:rsid w:val="0050211A"/>
    <w:rsid w:val="00537195"/>
    <w:rsid w:val="0054447E"/>
    <w:rsid w:val="00552C91"/>
    <w:rsid w:val="0058216C"/>
    <w:rsid w:val="00590D15"/>
    <w:rsid w:val="005A65D3"/>
    <w:rsid w:val="005C79AC"/>
    <w:rsid w:val="005D5E4B"/>
    <w:rsid w:val="005E11C4"/>
    <w:rsid w:val="005E1543"/>
    <w:rsid w:val="005F5F69"/>
    <w:rsid w:val="00607D70"/>
    <w:rsid w:val="0062410D"/>
    <w:rsid w:val="00641B78"/>
    <w:rsid w:val="006478C0"/>
    <w:rsid w:val="00663876"/>
    <w:rsid w:val="00667B07"/>
    <w:rsid w:val="006D6887"/>
    <w:rsid w:val="006E5F60"/>
    <w:rsid w:val="00731EDC"/>
    <w:rsid w:val="00731F82"/>
    <w:rsid w:val="007368CA"/>
    <w:rsid w:val="00744C41"/>
    <w:rsid w:val="007640A2"/>
    <w:rsid w:val="00773467"/>
    <w:rsid w:val="007B49C9"/>
    <w:rsid w:val="007B5A1C"/>
    <w:rsid w:val="007B69B9"/>
    <w:rsid w:val="00820356"/>
    <w:rsid w:val="0087201D"/>
    <w:rsid w:val="008A4CAE"/>
    <w:rsid w:val="008B5DFB"/>
    <w:rsid w:val="008C42C9"/>
    <w:rsid w:val="0092037C"/>
    <w:rsid w:val="00970AC5"/>
    <w:rsid w:val="009A0E24"/>
    <w:rsid w:val="00A81633"/>
    <w:rsid w:val="00A82084"/>
    <w:rsid w:val="00AC55E3"/>
    <w:rsid w:val="00B11005"/>
    <w:rsid w:val="00B53ECF"/>
    <w:rsid w:val="00B72112"/>
    <w:rsid w:val="00B7781D"/>
    <w:rsid w:val="00B82765"/>
    <w:rsid w:val="00C00ED4"/>
    <w:rsid w:val="00C1394E"/>
    <w:rsid w:val="00C269AC"/>
    <w:rsid w:val="00C60158"/>
    <w:rsid w:val="00C83C28"/>
    <w:rsid w:val="00CE361F"/>
    <w:rsid w:val="00D06284"/>
    <w:rsid w:val="00D10668"/>
    <w:rsid w:val="00D66D14"/>
    <w:rsid w:val="00DB2A12"/>
    <w:rsid w:val="00DC5133"/>
    <w:rsid w:val="00DC65F6"/>
    <w:rsid w:val="00DD0B7B"/>
    <w:rsid w:val="00DD23BB"/>
    <w:rsid w:val="00DF3087"/>
    <w:rsid w:val="00EC6CE9"/>
    <w:rsid w:val="00F00F56"/>
    <w:rsid w:val="00F21123"/>
    <w:rsid w:val="00F31902"/>
    <w:rsid w:val="00F42D08"/>
    <w:rsid w:val="00F45A2F"/>
    <w:rsid w:val="00F55DF5"/>
    <w:rsid w:val="00F62B1A"/>
    <w:rsid w:val="00F65557"/>
    <w:rsid w:val="00FA0F48"/>
    <w:rsid w:val="00FA7486"/>
    <w:rsid w:val="00FC7534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42559"/>
  <w15:docId w15:val="{2AD0ABB9-BB9F-4AEB-BD8D-FE4FF44F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D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2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08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2F4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148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0579B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F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F1"/>
    <w:rPr>
      <w:rFonts w:ascii="Times New Roman" w:eastAsia="Times New Roman" w:hAnsi="Times New Roman" w:cs="Times New Roman"/>
      <w:sz w:val="18"/>
      <w:szCs w:val="18"/>
      <w:lang w:val="en-US" w:eastAsia="ko-KR"/>
    </w:rPr>
  </w:style>
  <w:style w:type="paragraph" w:styleId="Revision">
    <w:name w:val="Revision"/>
    <w:hidden/>
    <w:uiPriority w:val="99"/>
    <w:semiHidden/>
    <w:rsid w:val="000C5A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C5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A57"/>
  </w:style>
  <w:style w:type="character" w:customStyle="1" w:styleId="CommentTextChar">
    <w:name w:val="Comment Text Char"/>
    <w:basedOn w:val="DefaultParagraphFont"/>
    <w:link w:val="CommentText"/>
    <w:uiPriority w:val="99"/>
    <w:rsid w:val="000C5A57"/>
    <w:rPr>
      <w:rFonts w:ascii="Courier New" w:eastAsia="Times New Roman" w:hAnsi="Courier New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57"/>
    <w:rPr>
      <w:rFonts w:ascii="Courier New" w:eastAsia="Times New Roman" w:hAnsi="Courier New" w:cs="Times New Roman"/>
      <w:b/>
      <w:bCs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5C79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9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C79AC"/>
    <w:rPr>
      <w:b/>
      <w:bCs/>
    </w:rPr>
  </w:style>
  <w:style w:type="table" w:styleId="TableGrid">
    <w:name w:val="Table Grid"/>
    <w:basedOn w:val="TableNormal"/>
    <w:uiPriority w:val="39"/>
    <w:rsid w:val="0073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winsider.com/clause/force-maje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CB18D96BCA46B8B5280B0C21D09A" ma:contentTypeVersion="15" ma:contentTypeDescription="Create a new document." ma:contentTypeScope="" ma:versionID="7cec299802ce1704d57862cbe3b04190">
  <xsd:schema xmlns:xsd="http://www.w3.org/2001/XMLSchema" xmlns:xs="http://www.w3.org/2001/XMLSchema" xmlns:p="http://schemas.microsoft.com/office/2006/metadata/properties" xmlns:ns2="b9fa2689-23e1-470a-a57e-b1145bf90d8a" xmlns:ns3="9757518e-c360-49fa-a6be-665c92dedee2" xmlns:ns4="bc1322ea-e27c-4ff5-a62d-fa66619cbf8f" targetNamespace="http://schemas.microsoft.com/office/2006/metadata/properties" ma:root="true" ma:fieldsID="7fc32a25bc822e883277ac95b4555944" ns2:_="" ns3:_="" ns4:_="">
    <xsd:import namespace="b9fa2689-23e1-470a-a57e-b1145bf90d8a"/>
    <xsd:import namespace="9757518e-c360-49fa-a6be-665c92dedee2"/>
    <xsd:import namespace="bc1322ea-e27c-4ff5-a62d-fa66619cbf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Decafy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7518e-c360-49fa-a6be-665c92dedee2" elementFormDefault="qualified">
    <xsd:import namespace="http://schemas.microsoft.com/office/2006/documentManagement/types"/>
    <xsd:import namespace="http://schemas.microsoft.com/office/infopath/2007/PartnerControls"/>
    <xsd:element name="IsDecafy" ma:index="11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322ea-e27c-4ff5-a62d-fa66619cb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9757518e-c360-49fa-a6be-665c92dedee2">false</IsDecafy>
    <_dlc_DocId xmlns="b9fa2689-23e1-470a-a57e-b1145bf90d8a">Deca00010925-682959635-7721</_dlc_DocId>
    <_dlc_DocIdUrl xmlns="b9fa2689-23e1-470a-a57e-b1145bf90d8a">
      <Url>https://dongenergy.sharepoint.com/sites/PDMalaysia/_layouts/15/DocIdRedir.aspx?ID=Deca00010925-682959635-7721</Url>
      <Description>Deca00010925-682959635-7721</Description>
    </_dlc_DocIdUrl>
  </documentManagement>
</p:properties>
</file>

<file path=customXml/itemProps1.xml><?xml version="1.0" encoding="utf-8"?>
<ds:datastoreItem xmlns:ds="http://schemas.openxmlformats.org/officeDocument/2006/customXml" ds:itemID="{AD31B565-421A-4994-BB57-3E3F85016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B7F14-3705-4C76-93E2-941793C7E3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6C5BF1-6DB7-4C37-AAF7-906CA50E2B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B5C079-84DB-4943-9A6F-6A7DEFE3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9757518e-c360-49fa-a6be-665c92dedee2"/>
    <ds:schemaRef ds:uri="bc1322ea-e27c-4ff5-a62d-fa66619cb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F33354-D0B9-404C-8BA2-9DFF82203A25}">
  <ds:schemaRefs>
    <ds:schemaRef ds:uri="http://schemas.microsoft.com/office/2006/metadata/properties"/>
    <ds:schemaRef ds:uri="http://schemas.microsoft.com/office/infopath/2007/PartnerControls"/>
    <ds:schemaRef ds:uri="9757518e-c360-49fa-a6be-665c92dedee2"/>
    <ds:schemaRef ds:uri="b9fa2689-23e1-470a-a57e-b1145bf90d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Puteri Baizura Binti Zamri</dc:creator>
  <cp:keywords/>
  <dc:description/>
  <cp:lastModifiedBy>Phuanat Rattanakul</cp:lastModifiedBy>
  <cp:revision>6</cp:revision>
  <dcterms:created xsi:type="dcterms:W3CDTF">2022-05-31T04:29:00Z</dcterms:created>
  <dcterms:modified xsi:type="dcterms:W3CDTF">2022-05-31T04:41:00Z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d9a29f-7d17-4193-85e4-1bef0fc2e901_Enabled">
    <vt:lpwstr>true</vt:lpwstr>
  </property>
  <property fmtid="{D5CDD505-2E9C-101B-9397-08002B2CF9AE}" pid="3" name="MSIP_Label_b8d9a29f-7d17-4193-85e4-1bef0fc2e901_SetDate">
    <vt:lpwstr>2022-03-31T05:09:06Z</vt:lpwstr>
  </property>
  <property fmtid="{D5CDD505-2E9C-101B-9397-08002B2CF9AE}" pid="4" name="MSIP_Label_b8d9a29f-7d17-4193-85e4-1bef0fc2e901_Method">
    <vt:lpwstr>Standard</vt:lpwstr>
  </property>
  <property fmtid="{D5CDD505-2E9C-101B-9397-08002B2CF9AE}" pid="5" name="MSIP_Label_b8d9a29f-7d17-4193-85e4-1bef0fc2e901_Name">
    <vt:lpwstr>b8d9a29f-7d17-4193-85e4-1bef0fc2e901</vt:lpwstr>
  </property>
  <property fmtid="{D5CDD505-2E9C-101B-9397-08002B2CF9AE}" pid="6" name="MSIP_Label_b8d9a29f-7d17-4193-85e4-1bef0fc2e901_SiteId">
    <vt:lpwstr>100b3c99-f3e2-4da0-9c8a-b9d345742c36</vt:lpwstr>
  </property>
  <property fmtid="{D5CDD505-2E9C-101B-9397-08002B2CF9AE}" pid="7" name="MSIP_Label_b8d9a29f-7d17-4193-85e4-1bef0fc2e901_ActionId">
    <vt:lpwstr>57548cea-0c83-4728-89e2-f090be2deb4f</vt:lpwstr>
  </property>
  <property fmtid="{D5CDD505-2E9C-101B-9397-08002B2CF9AE}" pid="8" name="MSIP_Label_b8d9a29f-7d17-4193-85e4-1bef0fc2e901_ContentBits">
    <vt:lpwstr>1</vt:lpwstr>
  </property>
  <property fmtid="{D5CDD505-2E9C-101B-9397-08002B2CF9AE}" pid="9" name="ContentTypeId">
    <vt:lpwstr>0x010100417FCB18D96BCA46B8B5280B0C21D09A</vt:lpwstr>
  </property>
  <property fmtid="{D5CDD505-2E9C-101B-9397-08002B2CF9AE}" pid="10" name="_dlc_DocIdItemGuid">
    <vt:lpwstr>9d78fca5-8db0-4f0e-b738-dc9235745f39</vt:lpwstr>
  </property>
</Properties>
</file>